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A23723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92571E">
        <w:rPr>
          <w:rFonts w:ascii="Calibri" w:hAnsi="Calibri"/>
        </w:rPr>
        <w:t>ARM14-3.2.1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C7AD1A0" w:rsidR="0080294B" w:rsidRPr="007A395D" w:rsidRDefault="007E0E6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308DFF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2571E">
        <w:rPr>
          <w:rFonts w:ascii="Calibri" w:hAnsi="Calibri"/>
        </w:rPr>
        <w:t>3.2</w:t>
      </w:r>
    </w:p>
    <w:p w14:paraId="1AB3E246" w14:textId="18E3D250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9B7AD0">
        <w:rPr>
          <w:rFonts w:ascii="Calibri" w:hAnsi="Calibri"/>
        </w:rPr>
        <w:t>………</w:t>
      </w:r>
      <w:r w:rsidRPr="007A395D">
        <w:rPr>
          <w:rFonts w:ascii="Calibri" w:hAnsi="Calibri"/>
        </w:rPr>
        <w:t>………………………</w:t>
      </w:r>
    </w:p>
    <w:p w14:paraId="45CF0383" w14:textId="3666C701" w:rsidR="009B7AD0" w:rsidRDefault="00362CD9" w:rsidP="009B7AD0">
      <w:pPr>
        <w:pStyle w:val="BodyText"/>
        <w:tabs>
          <w:tab w:val="left" w:pos="2835"/>
        </w:tabs>
        <w:ind w:leftChars="4" w:left="3969" w:hangingChars="1800" w:hanging="3960"/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9B7AD0">
        <w:rPr>
          <w:rFonts w:ascii="Calibri" w:hAnsi="Calibri"/>
        </w:rPr>
        <w:tab/>
        <w:t xml:space="preserve">Chang Peng, Lai Qingqing, Yang </w:t>
      </w:r>
      <w:proofErr w:type="spellStart"/>
      <w:r w:rsidR="009B7AD0">
        <w:rPr>
          <w:rFonts w:ascii="Calibri" w:hAnsi="Calibri"/>
        </w:rPr>
        <w:t>Jiqi</w:t>
      </w:r>
      <w:proofErr w:type="spellEnd"/>
      <w:r w:rsidR="009B7AD0">
        <w:rPr>
          <w:rFonts w:ascii="Calibri" w:hAnsi="Calibri"/>
        </w:rPr>
        <w:t>, Li Hui (</w:t>
      </w:r>
      <w:r w:rsidR="00ED4E21">
        <w:rPr>
          <w:rFonts w:ascii="Calibri" w:hAnsi="Calibri"/>
        </w:rPr>
        <w:t>C</w:t>
      </w:r>
      <w:r w:rsidR="004E614D">
        <w:rPr>
          <w:rFonts w:ascii="Calibri" w:hAnsi="Calibri"/>
        </w:rPr>
        <w:t>HINA</w:t>
      </w:r>
      <w:r w:rsidR="00ED4E21">
        <w:rPr>
          <w:rFonts w:ascii="Calibri" w:hAnsi="Calibri"/>
        </w:rPr>
        <w:t xml:space="preserve"> MSA</w:t>
      </w:r>
      <w:r w:rsidR="009B7AD0">
        <w:rPr>
          <w:rFonts w:ascii="Calibri" w:hAnsi="Calibri"/>
        </w:rPr>
        <w:t xml:space="preserve">) </w:t>
      </w:r>
      <w:r w:rsidR="00DC70E7">
        <w:rPr>
          <w:rFonts w:ascii="Calibri" w:hAnsi="Calibri"/>
        </w:rPr>
        <w:t>&amp;</w:t>
      </w:r>
    </w:p>
    <w:p w14:paraId="01FC5420" w14:textId="31C684DE" w:rsidR="00362CD9" w:rsidRPr="007A395D" w:rsidRDefault="00DC70E7" w:rsidP="009B7AD0">
      <w:pPr>
        <w:pStyle w:val="BodyText"/>
        <w:tabs>
          <w:tab w:val="left" w:pos="2835"/>
        </w:tabs>
        <w:ind w:firstLineChars="1740" w:firstLine="3828"/>
        <w:rPr>
          <w:rFonts w:ascii="Calibri" w:hAnsi="Calibri"/>
          <w:color w:val="FF0000"/>
        </w:rPr>
      </w:pPr>
      <w:r>
        <w:rPr>
          <w:rFonts w:ascii="Calibri" w:hAnsi="Calibri"/>
        </w:rPr>
        <w:t xml:space="preserve"> </w:t>
      </w:r>
      <w:r w:rsidR="009B7AD0">
        <w:rPr>
          <w:rFonts w:ascii="Calibri" w:hAnsi="Calibri"/>
        </w:rPr>
        <w:t xml:space="preserve"> Zhao Jian, Liu </w:t>
      </w:r>
      <w:proofErr w:type="spellStart"/>
      <w:r w:rsidR="009B7AD0">
        <w:rPr>
          <w:rFonts w:ascii="Calibri" w:hAnsi="Calibri"/>
        </w:rPr>
        <w:t>Zhengjiang</w:t>
      </w:r>
      <w:proofErr w:type="spellEnd"/>
      <w:r w:rsidR="009B7AD0">
        <w:rPr>
          <w:rFonts w:ascii="Calibri" w:hAnsi="Calibri"/>
        </w:rPr>
        <w:t xml:space="preserve"> (</w:t>
      </w:r>
      <w:r>
        <w:rPr>
          <w:rFonts w:ascii="Calibri" w:hAnsi="Calibri"/>
        </w:rPr>
        <w:t>DMU</w:t>
      </w:r>
      <w:r w:rsidR="009B7AD0">
        <w:rPr>
          <w:rFonts w:ascii="Calibri" w:hAnsi="Calibri"/>
        </w:rPr>
        <w:t>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38FB6BC" w14:textId="04D78F60" w:rsidR="00744B17" w:rsidRPr="00605E43" w:rsidRDefault="00A33435" w:rsidP="00A446C9">
      <w:pPr>
        <w:pStyle w:val="Title"/>
        <w:rPr>
          <w:rFonts w:ascii="Calibri" w:hAnsi="Calibri"/>
          <w:color w:val="0070C0"/>
          <w:lang w:eastAsia="zh-CN"/>
        </w:rPr>
      </w:pPr>
      <w:r>
        <w:rPr>
          <w:rFonts w:ascii="Calibri" w:hAnsi="Calibri"/>
          <w:color w:val="0070C0"/>
          <w:lang w:eastAsia="zh-CN"/>
        </w:rPr>
        <w:tab/>
        <w:t>P</w:t>
      </w:r>
      <w:r>
        <w:rPr>
          <w:rFonts w:ascii="Calibri" w:hAnsi="Calibri" w:hint="eastAsia"/>
          <w:color w:val="0070C0"/>
          <w:lang w:eastAsia="zh-CN"/>
        </w:rPr>
        <w:t>roposal</w:t>
      </w:r>
      <w:r>
        <w:rPr>
          <w:rFonts w:ascii="Calibri" w:hAnsi="Calibri"/>
          <w:color w:val="0070C0"/>
          <w:lang w:eastAsia="zh-CN"/>
        </w:rPr>
        <w:t xml:space="preserve"> </w:t>
      </w:r>
      <w:r w:rsidR="009D5110">
        <w:rPr>
          <w:rFonts w:ascii="Calibri" w:hAnsi="Calibri"/>
          <w:color w:val="0070C0"/>
          <w:lang w:eastAsia="zh-CN"/>
        </w:rPr>
        <w:t>for revision</w:t>
      </w:r>
      <w:r w:rsidR="003412CB">
        <w:rPr>
          <w:rFonts w:ascii="Calibri" w:hAnsi="Calibri"/>
          <w:color w:val="0070C0"/>
          <w:lang w:eastAsia="zh-CN"/>
        </w:rPr>
        <w:t xml:space="preserve"> of</w:t>
      </w:r>
      <w:r w:rsidR="009D5110">
        <w:rPr>
          <w:rFonts w:ascii="Calibri" w:hAnsi="Calibri"/>
          <w:color w:val="0070C0"/>
          <w:lang w:eastAsia="zh-CN"/>
        </w:rPr>
        <w:t xml:space="preserve"> </w:t>
      </w:r>
      <w:r w:rsidR="004F5EEC">
        <w:rPr>
          <w:rFonts w:ascii="Calibri" w:hAnsi="Calibri"/>
          <w:color w:val="0070C0"/>
          <w:lang w:eastAsia="zh-CN"/>
        </w:rPr>
        <w:t>IALA guideline</w:t>
      </w:r>
      <w:r w:rsidR="00CD0716">
        <w:rPr>
          <w:rFonts w:ascii="Calibri" w:hAnsi="Calibri"/>
          <w:color w:val="0070C0"/>
          <w:lang w:eastAsia="zh-CN"/>
        </w:rPr>
        <w:t>,</w:t>
      </w:r>
      <w:r w:rsidR="004F5EEC">
        <w:rPr>
          <w:rFonts w:ascii="Calibri" w:hAnsi="Calibri"/>
          <w:color w:val="0070C0"/>
          <w:lang w:eastAsia="zh-CN"/>
        </w:rPr>
        <w:t xml:space="preserve"> </w:t>
      </w:r>
      <w:r w:rsidR="00A824F3">
        <w:rPr>
          <w:rFonts w:ascii="Calibri" w:hAnsi="Calibri"/>
          <w:color w:val="0070C0"/>
          <w:lang w:eastAsia="zh-CN"/>
        </w:rPr>
        <w:t>the draft of the marking of Man-made struc</w:t>
      </w:r>
      <w:r w:rsidR="00CD0716">
        <w:rPr>
          <w:rFonts w:ascii="Calibri" w:hAnsi="Calibri"/>
          <w:color w:val="0070C0"/>
          <w:lang w:eastAsia="zh-CN"/>
        </w:rPr>
        <w:t xml:space="preserve">tures, </w:t>
      </w:r>
      <w:r w:rsidR="00EB7FA8">
        <w:rPr>
          <w:rFonts w:ascii="Calibri" w:hAnsi="Calibri"/>
          <w:color w:val="0070C0"/>
          <w:lang w:eastAsia="zh-CN"/>
        </w:rPr>
        <w:t>with a concrete amendment of 2-4-3</w:t>
      </w:r>
      <w:r w:rsidR="00712F5F">
        <w:rPr>
          <w:rFonts w:ascii="Calibri" w:hAnsi="Calibri"/>
          <w:color w:val="0070C0"/>
          <w:lang w:eastAsia="zh-CN"/>
        </w:rPr>
        <w:t xml:space="preserve"> for the </w:t>
      </w:r>
      <w:r w:rsidR="006B0A58">
        <w:rPr>
          <w:rFonts w:ascii="Calibri" w:hAnsi="Calibri"/>
          <w:color w:val="0070C0"/>
          <w:lang w:eastAsia="zh-CN"/>
        </w:rPr>
        <w:t>additional marking of Offshore Wind F</w:t>
      </w:r>
      <w:r w:rsidR="00712F5F">
        <w:rPr>
          <w:rFonts w:ascii="Calibri" w:hAnsi="Calibri"/>
          <w:color w:val="0070C0"/>
          <w:lang w:eastAsia="zh-CN"/>
        </w:rPr>
        <w:t xml:space="preserve">arm </w:t>
      </w:r>
      <w:r w:rsidR="006B0A58">
        <w:rPr>
          <w:rFonts w:ascii="Calibri" w:hAnsi="Calibri"/>
          <w:color w:val="0070C0"/>
          <w:lang w:eastAsia="zh-CN"/>
        </w:rPr>
        <w:t xml:space="preserve">(OWF) </w:t>
      </w:r>
      <w:r w:rsidR="00712F5F">
        <w:rPr>
          <w:rFonts w:ascii="Calibri" w:hAnsi="Calibri"/>
          <w:color w:val="0070C0"/>
          <w:lang w:eastAsia="zh-CN"/>
        </w:rPr>
        <w:t>in operation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E502317" w14:textId="4665F16B" w:rsidR="00EC3107" w:rsidRDefault="00EC3107" w:rsidP="00B56BDF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Having </w:t>
      </w:r>
      <w:r>
        <w:rPr>
          <w:rFonts w:ascii="Calibri" w:hAnsi="Calibri"/>
          <w:lang w:eastAsia="zh-CN"/>
        </w:rPr>
        <w:t>considered</w:t>
      </w:r>
      <w:r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/>
          <w:lang w:eastAsia="zh-CN"/>
        </w:rPr>
        <w:t xml:space="preserve">the </w:t>
      </w:r>
      <w:r w:rsidR="00FB425B">
        <w:rPr>
          <w:rFonts w:ascii="Calibri" w:hAnsi="Calibri"/>
          <w:lang w:eastAsia="zh-CN"/>
        </w:rPr>
        <w:t>marking system as recommended in the current IALA guideline</w:t>
      </w:r>
      <w:r w:rsidR="00417F6E">
        <w:rPr>
          <w:rFonts w:ascii="Calibri" w:hAnsi="Calibri"/>
          <w:lang w:eastAsia="zh-CN"/>
        </w:rPr>
        <w:t xml:space="preserve"> </w:t>
      </w:r>
      <w:r w:rsidR="00417F6E" w:rsidRPr="009B7AD0">
        <w:rPr>
          <w:rFonts w:ascii="Calibri" w:hAnsi="Calibri"/>
          <w:lang w:eastAsia="zh-CN"/>
        </w:rPr>
        <w:t>(the draft)</w:t>
      </w:r>
      <w:r w:rsidR="003E4A03">
        <w:rPr>
          <w:rFonts w:ascii="Calibri" w:hAnsi="Calibri"/>
          <w:lang w:eastAsia="zh-CN"/>
        </w:rPr>
        <w:t>,</w:t>
      </w:r>
      <w:r w:rsidR="00FB425B">
        <w:rPr>
          <w:rFonts w:ascii="Calibri" w:hAnsi="Calibri"/>
          <w:lang w:eastAsia="zh-CN"/>
        </w:rPr>
        <w:t xml:space="preserve"> a risk of collision with </w:t>
      </w:r>
      <w:r w:rsidR="00C63F21">
        <w:rPr>
          <w:rFonts w:ascii="Calibri" w:hAnsi="Calibri"/>
          <w:lang w:eastAsia="zh-CN"/>
        </w:rPr>
        <w:t xml:space="preserve">the </w:t>
      </w:r>
      <w:r w:rsidR="00E77BD6">
        <w:rPr>
          <w:rFonts w:ascii="Calibri" w:hAnsi="Calibri"/>
          <w:lang w:eastAsia="zh-CN"/>
        </w:rPr>
        <w:t>existing</w:t>
      </w:r>
      <w:r w:rsidR="00C63F21">
        <w:rPr>
          <w:rFonts w:ascii="Calibri" w:hAnsi="Calibri"/>
          <w:lang w:eastAsia="zh-CN"/>
        </w:rPr>
        <w:t xml:space="preserve"> </w:t>
      </w:r>
      <w:r w:rsidR="006B0A58">
        <w:rPr>
          <w:rFonts w:ascii="Calibri" w:hAnsi="Calibri"/>
          <w:lang w:eastAsia="zh-CN"/>
        </w:rPr>
        <w:t>O</w:t>
      </w:r>
      <w:r w:rsidR="00C63F21">
        <w:rPr>
          <w:rFonts w:ascii="Calibri" w:hAnsi="Calibri"/>
          <w:lang w:eastAsia="zh-CN"/>
        </w:rPr>
        <w:t>ffshore</w:t>
      </w:r>
      <w:r w:rsidR="00E77BD6">
        <w:rPr>
          <w:rFonts w:ascii="Calibri" w:hAnsi="Calibri"/>
          <w:lang w:eastAsia="zh-CN"/>
        </w:rPr>
        <w:t xml:space="preserve"> </w:t>
      </w:r>
      <w:r w:rsidR="006B0A58">
        <w:rPr>
          <w:rFonts w:ascii="Calibri" w:hAnsi="Calibri"/>
          <w:lang w:eastAsia="zh-CN"/>
        </w:rPr>
        <w:t>W</w:t>
      </w:r>
      <w:r w:rsidR="00C63F21">
        <w:rPr>
          <w:rFonts w:ascii="Calibri" w:hAnsi="Calibri"/>
          <w:lang w:eastAsia="zh-CN"/>
        </w:rPr>
        <w:t xml:space="preserve">ind </w:t>
      </w:r>
      <w:r w:rsidR="006B0A58">
        <w:rPr>
          <w:rFonts w:ascii="Calibri" w:hAnsi="Calibri"/>
          <w:lang w:eastAsia="zh-CN"/>
        </w:rPr>
        <w:t>F</w:t>
      </w:r>
      <w:r w:rsidR="00C63F21">
        <w:rPr>
          <w:rFonts w:ascii="Calibri" w:hAnsi="Calibri"/>
          <w:lang w:eastAsia="zh-CN"/>
        </w:rPr>
        <w:t>arm</w:t>
      </w:r>
      <w:r w:rsidR="006B0A58">
        <w:rPr>
          <w:rFonts w:ascii="Calibri" w:hAnsi="Calibri"/>
          <w:lang w:eastAsia="zh-CN"/>
        </w:rPr>
        <w:t xml:space="preserve"> (OWF)</w:t>
      </w:r>
      <w:r w:rsidR="00E96416">
        <w:rPr>
          <w:rFonts w:ascii="Calibri" w:hAnsi="Calibri"/>
          <w:lang w:eastAsia="zh-CN"/>
        </w:rPr>
        <w:t xml:space="preserve"> could be foreseeably anticipated with respective of misunderstanding the </w:t>
      </w:r>
      <w:r w:rsidR="003E4A03">
        <w:rPr>
          <w:rFonts w:ascii="Calibri" w:hAnsi="Calibri"/>
          <w:lang w:eastAsia="zh-CN"/>
        </w:rPr>
        <w:t xml:space="preserve">prevailing marking system. </w:t>
      </w:r>
      <w:r w:rsidR="00417F6E">
        <w:rPr>
          <w:rFonts w:ascii="Calibri" w:hAnsi="Calibri"/>
          <w:lang w:eastAsia="zh-CN"/>
        </w:rPr>
        <w:t>B</w:t>
      </w:r>
      <w:r w:rsidR="00417F6E" w:rsidRPr="00417F6E">
        <w:rPr>
          <w:rFonts w:ascii="Calibri" w:hAnsi="Calibri"/>
          <w:lang w:eastAsia="zh-CN"/>
        </w:rPr>
        <w:t>y contrastive analysis</w:t>
      </w:r>
      <w:r w:rsidR="00731466">
        <w:rPr>
          <w:rFonts w:ascii="Calibri" w:hAnsi="Calibri"/>
          <w:lang w:eastAsia="zh-CN"/>
        </w:rPr>
        <w:t xml:space="preserve">, a more practical </w:t>
      </w:r>
      <w:r w:rsidR="00F65589">
        <w:rPr>
          <w:rFonts w:ascii="Calibri" w:hAnsi="Calibri"/>
          <w:lang w:eastAsia="zh-CN"/>
        </w:rPr>
        <w:t>solution is proposed to ARM committee for further reference.</w:t>
      </w:r>
    </w:p>
    <w:p w14:paraId="0386F3B9" w14:textId="77777777" w:rsidR="00712F5F" w:rsidRPr="00DC70E7" w:rsidRDefault="00712F5F" w:rsidP="00B56BDF">
      <w:pPr>
        <w:pStyle w:val="BodyText"/>
        <w:rPr>
          <w:rFonts w:ascii="Calibri" w:hAnsi="Calibri"/>
          <w:lang w:eastAsia="zh-CN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5615631F" w14:textId="5816C41A" w:rsidR="0051112E" w:rsidRPr="007A395D" w:rsidRDefault="00D70D15" w:rsidP="00E55927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>To amend the</w:t>
      </w:r>
      <w:r w:rsidR="00136BB7">
        <w:rPr>
          <w:rFonts w:ascii="Calibri" w:hAnsi="Calibri"/>
          <w:lang w:eastAsia="zh-CN"/>
        </w:rPr>
        <w:t xml:space="preserve"> requirements and illustration figures</w:t>
      </w:r>
      <w:r w:rsidR="007479B4">
        <w:rPr>
          <w:rFonts w:ascii="Calibri" w:hAnsi="Calibri"/>
          <w:lang w:eastAsia="zh-CN"/>
        </w:rPr>
        <w:t xml:space="preserve"> as demonstrated</w:t>
      </w:r>
      <w:r w:rsidR="00136BB7">
        <w:rPr>
          <w:rFonts w:ascii="Calibri" w:hAnsi="Calibri"/>
          <w:lang w:eastAsia="zh-CN"/>
        </w:rPr>
        <w:t xml:space="preserve"> in</w:t>
      </w:r>
      <w:r>
        <w:rPr>
          <w:rFonts w:ascii="Calibri" w:hAnsi="Calibri" w:hint="eastAsia"/>
          <w:lang w:eastAsia="zh-CN"/>
        </w:rPr>
        <w:t xml:space="preserve"> Article 2.4.3 </w:t>
      </w:r>
      <w:r w:rsidR="00136BB7">
        <w:rPr>
          <w:rFonts w:ascii="Calibri" w:hAnsi="Calibri"/>
          <w:lang w:eastAsia="zh-CN"/>
        </w:rPr>
        <w:t>of</w:t>
      </w:r>
      <w:r>
        <w:rPr>
          <w:rFonts w:ascii="Calibri" w:hAnsi="Calibri" w:hint="eastAsia"/>
          <w:lang w:eastAsia="zh-CN"/>
        </w:rPr>
        <w:t xml:space="preserve"> the IALA guideline of the marking of offsho</w:t>
      </w:r>
      <w:r w:rsidR="00136BB7">
        <w:rPr>
          <w:rFonts w:ascii="Calibri" w:hAnsi="Calibri" w:hint="eastAsia"/>
          <w:lang w:eastAsia="zh-CN"/>
        </w:rPr>
        <w:t>re man-made structures.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31D7CCC7" w:rsidR="00E55927" w:rsidRDefault="0051112E" w:rsidP="00E55927">
      <w:pPr>
        <w:pStyle w:val="BodyText"/>
        <w:rPr>
          <w:rFonts w:ascii="Calibri" w:hAnsi="Calibri"/>
          <w:lang w:eastAsia="zh-CN"/>
        </w:rPr>
      </w:pPr>
      <w:r w:rsidRPr="00590B84">
        <w:rPr>
          <w:rFonts w:ascii="Calibri" w:hAnsi="Calibri"/>
          <w:lang w:eastAsia="zh-CN"/>
        </w:rPr>
        <w:t>IALA Guideline - THE MARKING OF</w:t>
      </w:r>
      <w:r w:rsidRPr="00BB21AE">
        <w:rPr>
          <w:rFonts w:ascii="Calibri" w:hAnsi="Calibri"/>
          <w:lang w:eastAsia="zh-CN"/>
        </w:rPr>
        <w:t xml:space="preserve"> OFFSHORE</w:t>
      </w:r>
      <w:r w:rsidRPr="00590B84">
        <w:rPr>
          <w:rFonts w:ascii="Calibri" w:hAnsi="Calibri"/>
          <w:lang w:eastAsia="zh-CN"/>
        </w:rPr>
        <w:t xml:space="preserve"> MAN-MADE STRUCTURES</w:t>
      </w:r>
    </w:p>
    <w:p w14:paraId="3ED7BC4B" w14:textId="384C3C1B" w:rsidR="0051112E" w:rsidRPr="007A395D" w:rsidRDefault="0051112E" w:rsidP="00E55927">
      <w:pPr>
        <w:pStyle w:val="BodyText"/>
        <w:rPr>
          <w:rFonts w:ascii="Calibri" w:hAnsi="Calibri"/>
        </w:rPr>
      </w:pPr>
      <w:r>
        <w:rPr>
          <w:rFonts w:ascii="Calibri" w:hAnsi="Calibri"/>
          <w:lang w:eastAsia="zh-CN"/>
        </w:rPr>
        <w:t>IALA Recommendation, R-0139</w:t>
      </w:r>
      <w:r w:rsidRPr="00BB21AE">
        <w:t xml:space="preserve"> </w:t>
      </w:r>
      <w:r w:rsidRPr="00BB21AE">
        <w:rPr>
          <w:rFonts w:ascii="Calibri" w:hAnsi="Calibri"/>
          <w:lang w:eastAsia="zh-CN"/>
        </w:rPr>
        <w:t>THE MARKING OF MAN-MADE STRUCTURES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21221AB0" w14:textId="1F9DF70E" w:rsidR="007479B4" w:rsidRDefault="007479B4" w:rsidP="00590B84">
      <w:pPr>
        <w:pStyle w:val="BodyText"/>
        <w:rPr>
          <w:rFonts w:ascii="Calibri" w:hAnsi="Calibri"/>
          <w:lang w:eastAsia="zh-CN"/>
        </w:rPr>
      </w:pPr>
    </w:p>
    <w:p w14:paraId="0A1B9940" w14:textId="1BDB5140" w:rsidR="00F5136B" w:rsidRDefault="00E42C88" w:rsidP="00590B84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>I</w:t>
      </w:r>
      <w:r>
        <w:rPr>
          <w:rFonts w:ascii="Calibri" w:hAnsi="Calibri"/>
          <w:lang w:eastAsia="zh-CN"/>
        </w:rPr>
        <w:t>n the meeting of ARM13, the</w:t>
      </w:r>
      <w:r w:rsidR="00C77E09">
        <w:rPr>
          <w:rFonts w:ascii="Calibri" w:hAnsi="Calibri"/>
          <w:lang w:eastAsia="zh-CN"/>
        </w:rPr>
        <w:t xml:space="preserve"> </w:t>
      </w:r>
      <w:r w:rsidR="009B7AD0">
        <w:rPr>
          <w:rFonts w:ascii="Calibri" w:hAnsi="Calibri"/>
          <w:lang w:eastAsia="zh-CN"/>
        </w:rPr>
        <w:t>O</w:t>
      </w:r>
      <w:r w:rsidR="00C77E09">
        <w:rPr>
          <w:rFonts w:ascii="Calibri" w:hAnsi="Calibri"/>
          <w:lang w:eastAsia="zh-CN"/>
        </w:rPr>
        <w:t>-139 was modified and subsequently divided into two parts, the marking of offshore man-made structures and the markin</w:t>
      </w:r>
      <w:r w:rsidR="00AB2B70">
        <w:rPr>
          <w:rFonts w:ascii="Calibri" w:hAnsi="Calibri"/>
          <w:lang w:eastAsia="zh-CN"/>
        </w:rPr>
        <w:t xml:space="preserve">g of breakwaters. One recommendation was also thereafter proposed as </w:t>
      </w:r>
      <w:r w:rsidR="009A1F2A">
        <w:rPr>
          <w:rFonts w:ascii="Calibri" w:hAnsi="Calibri"/>
          <w:lang w:eastAsia="zh-CN"/>
        </w:rPr>
        <w:t>R-0139 for the marking of man-made structures.</w:t>
      </w:r>
    </w:p>
    <w:p w14:paraId="294B32AD" w14:textId="77777777" w:rsidR="007479B4" w:rsidRDefault="007479B4" w:rsidP="00590B84">
      <w:pPr>
        <w:pStyle w:val="BodyText"/>
        <w:rPr>
          <w:rFonts w:ascii="Calibri" w:hAnsi="Calibri"/>
          <w:lang w:eastAsia="zh-CN"/>
        </w:rPr>
      </w:pPr>
    </w:p>
    <w:p w14:paraId="04CFEDA3" w14:textId="3912C163" w:rsidR="009A1F2A" w:rsidRDefault="009A1F2A" w:rsidP="00590B84">
      <w:pPr>
        <w:pStyle w:val="BodyText"/>
        <w:rPr>
          <w:rFonts w:ascii="Calibri" w:hAnsi="Calibri"/>
          <w:lang w:eastAsia="zh-CN"/>
        </w:rPr>
      </w:pPr>
    </w:p>
    <w:p w14:paraId="47C8D386" w14:textId="77777777" w:rsidR="009B7AD0" w:rsidRPr="00D438FC" w:rsidRDefault="009B7AD0" w:rsidP="00590B84">
      <w:pPr>
        <w:pStyle w:val="BodyText"/>
        <w:rPr>
          <w:rFonts w:ascii="Calibri" w:hAnsi="Calibri"/>
          <w:lang w:eastAsia="zh-CN"/>
        </w:rPr>
      </w:pPr>
    </w:p>
    <w:p w14:paraId="1F91B850" w14:textId="3D21E677" w:rsidR="009A1F2A" w:rsidRDefault="00077333" w:rsidP="00590B84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The description about the Offshore Wind Farms (OWF) </w:t>
      </w:r>
      <w:r>
        <w:rPr>
          <w:rFonts w:ascii="Calibri" w:hAnsi="Calibri"/>
          <w:lang w:eastAsia="zh-CN"/>
        </w:rPr>
        <w:t>as depicted in the guideline is cited as follows:</w:t>
      </w:r>
    </w:p>
    <w:p w14:paraId="07D04A43" w14:textId="77777777" w:rsidR="009A1F2A" w:rsidRDefault="009A1F2A" w:rsidP="00590B84">
      <w:pPr>
        <w:pStyle w:val="BodyText"/>
        <w:rPr>
          <w:rFonts w:ascii="Calibri" w:hAnsi="Calibri"/>
          <w:lang w:eastAsia="zh-CN"/>
        </w:rPr>
      </w:pPr>
    </w:p>
    <w:p w14:paraId="4ED0907F" w14:textId="3DF035AD" w:rsidR="0051112E" w:rsidRPr="0051112E" w:rsidRDefault="0051112E" w:rsidP="00590B84">
      <w:pPr>
        <w:pStyle w:val="BodyText"/>
        <w:rPr>
          <w:rFonts w:ascii="Calibri" w:hAnsi="Calibri"/>
          <w:i/>
          <w:lang w:eastAsia="zh-CN"/>
        </w:rPr>
      </w:pPr>
      <w:r w:rsidRPr="0051112E">
        <w:rPr>
          <w:rFonts w:ascii="Calibri" w:hAnsi="Calibri" w:hint="eastAsia"/>
          <w:i/>
          <w:lang w:eastAsia="zh-CN"/>
        </w:rPr>
        <w:t>2</w:t>
      </w:r>
      <w:r w:rsidRPr="0051112E">
        <w:rPr>
          <w:rFonts w:ascii="Calibri" w:hAnsi="Calibri"/>
          <w:i/>
          <w:lang w:eastAsia="zh-CN"/>
        </w:rPr>
        <w:t>.4.3 MARKING OF GROUP OF STRUCTURES (OFFSHORE WIND FARMS)</w:t>
      </w:r>
    </w:p>
    <w:p w14:paraId="5C601244" w14:textId="77777777" w:rsidR="00362676" w:rsidRPr="0051112E" w:rsidRDefault="00362676" w:rsidP="00362676">
      <w:pPr>
        <w:pStyle w:val="List1"/>
        <w:numPr>
          <w:ilvl w:val="0"/>
          <w:numId w:val="0"/>
        </w:numPr>
        <w:rPr>
          <w:i/>
        </w:rPr>
      </w:pPr>
      <w:r w:rsidRPr="0051112E">
        <w:rPr>
          <w:i/>
        </w:rPr>
        <w:t>A Significant Peripheral Structure (SPS) will include the structures on the corners and other structures on the periphery of the OWF. It is recommended that:</w:t>
      </w:r>
    </w:p>
    <w:p w14:paraId="6CA998E3" w14:textId="77777777" w:rsidR="00362676" w:rsidRPr="0051112E" w:rsidRDefault="00362676" w:rsidP="00362676">
      <w:pPr>
        <w:pStyle w:val="BodyText"/>
        <w:spacing w:line="20" w:lineRule="exact"/>
        <w:ind w:left="112"/>
        <w:rPr>
          <w:i/>
        </w:rPr>
      </w:pPr>
    </w:p>
    <w:p w14:paraId="62484508" w14:textId="77777777" w:rsidR="00A5133D" w:rsidRPr="0051112E" w:rsidRDefault="00362676" w:rsidP="00B53C60">
      <w:pPr>
        <w:pStyle w:val="List1-recommendation"/>
        <w:numPr>
          <w:ilvl w:val="0"/>
          <w:numId w:val="18"/>
        </w:numPr>
        <w:jc w:val="both"/>
        <w:rPr>
          <w:i/>
          <w:sz w:val="22"/>
          <w:szCs w:val="22"/>
        </w:rPr>
      </w:pPr>
      <w:r w:rsidRPr="0051112E">
        <w:rPr>
          <w:i/>
          <w:sz w:val="22"/>
          <w:szCs w:val="22"/>
        </w:rPr>
        <w:t>These lights display a Special Mark characteristic, flashing yellow, with a minimal nominal range of 5 Nautical miles;</w:t>
      </w:r>
    </w:p>
    <w:p w14:paraId="604DCAAB" w14:textId="098D2C49" w:rsidR="00362676" w:rsidRPr="0051112E" w:rsidRDefault="00362676" w:rsidP="00B53C60">
      <w:pPr>
        <w:pStyle w:val="List1-recommendation"/>
        <w:numPr>
          <w:ilvl w:val="0"/>
          <w:numId w:val="18"/>
        </w:numPr>
        <w:jc w:val="both"/>
        <w:rPr>
          <w:i/>
          <w:sz w:val="22"/>
          <w:szCs w:val="22"/>
        </w:rPr>
      </w:pPr>
      <w:r w:rsidRPr="0051112E">
        <w:rPr>
          <w:i/>
          <w:sz w:val="22"/>
          <w:szCs w:val="22"/>
        </w:rPr>
        <w:t>The Competent Authority (AtoN) may consider the synchronisation of all SPS;</w:t>
      </w:r>
    </w:p>
    <w:p w14:paraId="2364E614" w14:textId="77777777" w:rsidR="00362676" w:rsidRPr="0051112E" w:rsidRDefault="00362676" w:rsidP="00B53C60">
      <w:pPr>
        <w:pStyle w:val="List1-recommendation"/>
        <w:numPr>
          <w:ilvl w:val="0"/>
          <w:numId w:val="18"/>
        </w:numPr>
        <w:jc w:val="both"/>
        <w:rPr>
          <w:i/>
          <w:sz w:val="22"/>
          <w:szCs w:val="22"/>
        </w:rPr>
      </w:pPr>
      <w:r w:rsidRPr="0051112E">
        <w:rPr>
          <w:i/>
          <w:sz w:val="22"/>
          <w:szCs w:val="22"/>
        </w:rPr>
        <w:t>In the case of a large or extended OWF, the distance between SPS should not normally exceed 3 Nautical miles.</w:t>
      </w:r>
    </w:p>
    <w:p w14:paraId="70DB4C94" w14:textId="77777777" w:rsidR="00362676" w:rsidRPr="0051112E" w:rsidRDefault="00362676" w:rsidP="00362676">
      <w:pPr>
        <w:pStyle w:val="BodyText"/>
        <w:spacing w:line="20" w:lineRule="exact"/>
        <w:ind w:left="112"/>
        <w:rPr>
          <w:i/>
        </w:rPr>
      </w:pPr>
    </w:p>
    <w:p w14:paraId="2815B643" w14:textId="77777777" w:rsidR="00362676" w:rsidRPr="0051112E" w:rsidRDefault="00362676" w:rsidP="00362676">
      <w:pPr>
        <w:jc w:val="both"/>
        <w:rPr>
          <w:i/>
        </w:rPr>
      </w:pPr>
      <w:r w:rsidRPr="0051112E">
        <w:rPr>
          <w:i/>
        </w:rPr>
        <w:t>Competent Authorities (AtoN) could consider Intermediate Peripheral Structures (IPS) selected on the periphery of an OWF:</w:t>
      </w:r>
    </w:p>
    <w:p w14:paraId="63FE02C7" w14:textId="77777777" w:rsidR="00362676" w:rsidRPr="0051112E" w:rsidRDefault="00362676" w:rsidP="00362676">
      <w:pPr>
        <w:pStyle w:val="BodyText"/>
        <w:spacing w:line="20" w:lineRule="exact"/>
        <w:ind w:left="112"/>
        <w:rPr>
          <w:i/>
        </w:rPr>
      </w:pPr>
    </w:p>
    <w:p w14:paraId="54E44684" w14:textId="77777777" w:rsidR="0051112E" w:rsidRDefault="00362676" w:rsidP="00B53C60">
      <w:pPr>
        <w:pStyle w:val="List1-recommendation"/>
        <w:numPr>
          <w:ilvl w:val="0"/>
          <w:numId w:val="19"/>
        </w:numPr>
        <w:jc w:val="both"/>
        <w:rPr>
          <w:i/>
          <w:sz w:val="22"/>
          <w:szCs w:val="22"/>
        </w:rPr>
      </w:pPr>
      <w:r w:rsidRPr="0051112E">
        <w:rPr>
          <w:i/>
          <w:sz w:val="22"/>
          <w:szCs w:val="22"/>
        </w:rPr>
        <w:t>Are marked with flashing yellow lights;</w:t>
      </w:r>
    </w:p>
    <w:p w14:paraId="6832463B" w14:textId="77777777" w:rsidR="0051112E" w:rsidRDefault="0051112E" w:rsidP="00B53C60">
      <w:pPr>
        <w:pStyle w:val="List1-recommendation"/>
        <w:numPr>
          <w:ilvl w:val="0"/>
          <w:numId w:val="19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The </w:t>
      </w:r>
      <w:r w:rsidR="00362676" w:rsidRPr="0051112E">
        <w:rPr>
          <w:i/>
          <w:sz w:val="22"/>
          <w:szCs w:val="22"/>
        </w:rPr>
        <w:t xml:space="preserve"> flash character of these lights shall be distinctly different from those displayed on the SPS, with a nominal range of 2 Nautical miles;</w:t>
      </w:r>
    </w:p>
    <w:p w14:paraId="4A23B81F" w14:textId="1CC955C6" w:rsidR="00362676" w:rsidRPr="0051112E" w:rsidRDefault="0051112E" w:rsidP="00B53C60">
      <w:pPr>
        <w:pStyle w:val="List1-recommendation"/>
        <w:numPr>
          <w:ilvl w:val="0"/>
          <w:numId w:val="19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H</w:t>
      </w:r>
      <w:r w:rsidR="00362676" w:rsidRPr="0051112E">
        <w:rPr>
          <w:i/>
          <w:sz w:val="22"/>
          <w:szCs w:val="22"/>
        </w:rPr>
        <w:t>ave a lateral distance between IPS or the nearest SPS which will not normally exceed 2 Nautical Miles.</w:t>
      </w:r>
    </w:p>
    <w:p w14:paraId="575B5334" w14:textId="72EC49D8" w:rsidR="00362676" w:rsidRPr="0051112E" w:rsidRDefault="003438FA" w:rsidP="00362676">
      <w:pPr>
        <w:pStyle w:val="BodyText"/>
        <w:ind w:left="1134"/>
        <w:rPr>
          <w:i/>
        </w:rPr>
      </w:pPr>
      <w:r w:rsidRPr="0051112E">
        <w:rPr>
          <w:i/>
          <w:noProof/>
          <w:lang w:val="en-US"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3F29FF8" wp14:editId="5EB7B541">
                <wp:simplePos x="0" y="0"/>
                <wp:positionH relativeFrom="column">
                  <wp:posOffset>46990</wp:posOffset>
                </wp:positionH>
                <wp:positionV relativeFrom="paragraph">
                  <wp:posOffset>3810</wp:posOffset>
                </wp:positionV>
                <wp:extent cx="457200" cy="342900"/>
                <wp:effectExtent l="0" t="13970" r="635" b="0"/>
                <wp:wrapNone/>
                <wp:docPr id="324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342900"/>
                          <a:chOff x="2677" y="2140"/>
                          <a:chExt cx="720" cy="540"/>
                        </a:xfrm>
                      </wpg:grpSpPr>
                      <wps:wsp>
                        <wps:cNvPr id="325" name="Oval 220"/>
                        <wps:cNvSpPr>
                          <a:spLocks noChangeArrowheads="1"/>
                        </wps:cNvSpPr>
                        <wps:spPr bwMode="auto">
                          <a:xfrm>
                            <a:off x="2759" y="2154"/>
                            <a:ext cx="480" cy="48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4C41E21" w14:textId="77777777" w:rsidR="00362676" w:rsidRDefault="00362676" w:rsidP="003626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2677" y="2140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40ADB7" w14:textId="77777777" w:rsidR="00362676" w:rsidRPr="00362676" w:rsidRDefault="00362676" w:rsidP="00362676">
                              <w:pP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362676"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</w:rPr>
                                <w:t>SPS</w:t>
                              </w:r>
                            </w:p>
                          </w:txbxContent>
                        </wps:txbx>
                        <wps:bodyPr rot="0" vert="horz" wrap="square" lIns="91440" tIns="82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F29FF8" id="Group 219" o:spid="_x0000_s1026" style="position:absolute;left:0;text-align:left;margin-left:3.7pt;margin-top:.3pt;width:36pt;height:27pt;z-index:251661312" coordorigin="2677,2140" coordsize="7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">
                <v:oval id="Oval 220" o:spid="_x0000_s1027" style="position:absolute;left:2759;top:2154;width:48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" fillcolor="yellow" strokeweight="3pt">
                  <v:textbox>
                    <w:txbxContent>
                      <w:p w14:paraId="04C41E21" w14:textId="77777777" w:rsidR="00362676" w:rsidRDefault="00362676" w:rsidP="00362676"/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1" o:spid="_x0000_s1028" type="#_x0000_t202" style="position:absolute;left:2677;top:2140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" filled="f" stroked="f">
                  <v:textbox inset=",2.3mm">
                    <w:txbxContent>
                      <w:p w14:paraId="7B40ADB7" w14:textId="77777777" w:rsidR="00362676" w:rsidRPr="00362676" w:rsidRDefault="00362676" w:rsidP="00362676">
                        <w:pPr>
                          <w:rPr>
                            <w:rFonts w:cs="Arial"/>
                            <w:b/>
                            <w:sz w:val="20"/>
                            <w:szCs w:val="20"/>
                          </w:rPr>
                        </w:pPr>
                        <w:r w:rsidRPr="00362676">
                          <w:rPr>
                            <w:rFonts w:cs="Arial"/>
                            <w:b/>
                            <w:sz w:val="20"/>
                            <w:szCs w:val="20"/>
                          </w:rPr>
                          <w:t>SPS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62676" w:rsidRPr="0051112E">
        <w:rPr>
          <w:i/>
        </w:rPr>
        <w:t>SPS - lights visible from all directions in the horizontal plane.  It is recommended to synchronize these lights in order to display a Special Mark characteristic, flashing yellow, with a range of not less than 5 Nautical miles</w:t>
      </w:r>
    </w:p>
    <w:p w14:paraId="12A33A0C" w14:textId="632BF5AA" w:rsidR="00590B84" w:rsidRDefault="00362676" w:rsidP="00014C85">
      <w:pPr>
        <w:pStyle w:val="BodyText"/>
        <w:ind w:left="1134"/>
        <w:rPr>
          <w:i/>
        </w:rPr>
      </w:pPr>
      <w:r w:rsidRPr="0051112E">
        <w:rPr>
          <w:rFonts w:cs="Arial"/>
          <w:i/>
          <w:noProof/>
          <w:lang w:val="en-US" w:eastAsia="zh-C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98621BD" wp14:editId="69C918F0">
                <wp:simplePos x="0" y="0"/>
                <wp:positionH relativeFrom="column">
                  <wp:posOffset>46990</wp:posOffset>
                </wp:positionH>
                <wp:positionV relativeFrom="paragraph">
                  <wp:posOffset>29845</wp:posOffset>
                </wp:positionV>
                <wp:extent cx="457200" cy="342900"/>
                <wp:effectExtent l="0" t="1270" r="635" b="0"/>
                <wp:wrapNone/>
                <wp:docPr id="321" name="Group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342900"/>
                          <a:chOff x="2677" y="2140"/>
                          <a:chExt cx="720" cy="540"/>
                        </a:xfrm>
                      </wpg:grpSpPr>
                      <wps:wsp>
                        <wps:cNvPr id="322" name="Oval 220"/>
                        <wps:cNvSpPr>
                          <a:spLocks noChangeArrowheads="1"/>
                        </wps:cNvSpPr>
                        <wps:spPr bwMode="auto">
                          <a:xfrm>
                            <a:off x="2759" y="2154"/>
                            <a:ext cx="480" cy="48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0CF62CA" w14:textId="77777777" w:rsidR="00362676" w:rsidRDefault="00362676" w:rsidP="0036267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2677" y="2140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6EFA4" w14:textId="77777777" w:rsidR="00362676" w:rsidRPr="00977877" w:rsidRDefault="00362676" w:rsidP="00362676">
                              <w:pPr>
                                <w:jc w:val="center"/>
                                <w:rPr>
                                  <w:rFonts w:cs="Arial"/>
                                  <w:b/>
                                  <w:szCs w:val="18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szCs w:val="18"/>
                                </w:rPr>
                                <w:t>I</w:t>
                              </w:r>
                              <w:r w:rsidRPr="00977877">
                                <w:rPr>
                                  <w:rFonts w:cs="Arial"/>
                                  <w:b/>
                                  <w:szCs w:val="18"/>
                                </w:rPr>
                                <w:t>PS</w:t>
                              </w:r>
                            </w:p>
                          </w:txbxContent>
                        </wps:txbx>
                        <wps:bodyPr rot="0" vert="horz" wrap="square" lIns="91440" tIns="82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8621BD" id="Group 494" o:spid="_x0000_s1029" style="position:absolute;left:0;text-align:left;margin-left:3.7pt;margin-top:2.35pt;width:36pt;height:27pt;z-index:251662336" coordorigin="2677,2140" coordsize="7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">
                <v:oval id="Oval 220" o:spid="_x0000_s1030" style="position:absolute;left:2759;top:2154;width:48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" fillcolor="yellow" strokeweight=".25pt">
                  <v:textbox>
                    <w:txbxContent>
                      <w:p w14:paraId="10CF62CA" w14:textId="77777777" w:rsidR="00362676" w:rsidRDefault="00362676" w:rsidP="00362676"/>
                    </w:txbxContent>
                  </v:textbox>
                </v:oval>
                <v:shape id="Text Box 221" o:spid="_x0000_s1031" type="#_x0000_t202" style="position:absolute;left:2677;top:2140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" filled="f" stroked="f" strokeweight=".25pt">
                  <v:textbox inset=",2.3mm">
                    <w:txbxContent>
                      <w:p w14:paraId="49E6EFA4" w14:textId="77777777" w:rsidR="00362676" w:rsidRPr="00977877" w:rsidRDefault="00362676" w:rsidP="00362676">
                        <w:pPr>
                          <w:jc w:val="center"/>
                          <w:rPr>
                            <w:rFonts w:cs="Arial"/>
                            <w:b/>
                            <w:szCs w:val="18"/>
                          </w:rPr>
                        </w:pPr>
                        <w:r>
                          <w:rPr>
                            <w:rFonts w:cs="Arial"/>
                            <w:b/>
                            <w:szCs w:val="18"/>
                          </w:rPr>
                          <w:t>I</w:t>
                        </w:r>
                        <w:r w:rsidRPr="00977877">
                          <w:rPr>
                            <w:rFonts w:cs="Arial"/>
                            <w:b/>
                            <w:szCs w:val="18"/>
                          </w:rPr>
                          <w:t>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1112E">
        <w:rPr>
          <w:rFonts w:cs="Arial"/>
          <w:i/>
        </w:rPr>
        <w:t>I</w:t>
      </w:r>
      <w:r w:rsidRPr="0051112E">
        <w:rPr>
          <w:i/>
        </w:rPr>
        <w:t>ntermediate structures on the periphery of an OWF other than the SPS - marked with flashing yellow lights which are visible to the mariner from all directions in the horizontal plane with a flash character distinctly different from those displayed on the SPS and with a range of not less than 2 Nautical miles</w:t>
      </w:r>
    </w:p>
    <w:p w14:paraId="32950DE6" w14:textId="6C9C171B" w:rsidR="00DB5614" w:rsidRPr="0089577A" w:rsidRDefault="00324E17" w:rsidP="009B7AD0">
      <w:pPr>
        <w:pStyle w:val="BodyText"/>
        <w:ind w:firstLineChars="193" w:firstLine="425"/>
        <w:rPr>
          <w:rFonts w:ascii="Calibri" w:hAnsi="Calibri"/>
          <w:lang w:eastAsia="zh-CN"/>
        </w:rPr>
      </w:pPr>
      <w:r w:rsidRPr="0089577A">
        <w:rPr>
          <w:rFonts w:ascii="Calibri" w:hAnsi="Calibri" w:hint="eastAsia"/>
          <w:lang w:eastAsia="zh-CN"/>
        </w:rPr>
        <w:t>It</w:t>
      </w:r>
      <w:r w:rsidR="00FF0E7E" w:rsidRPr="0089577A">
        <w:rPr>
          <w:rFonts w:ascii="Calibri" w:hAnsi="Calibri"/>
          <w:lang w:eastAsia="zh-CN"/>
        </w:rPr>
        <w:t xml:space="preserve"> is</w:t>
      </w:r>
      <w:r w:rsidRPr="0089577A">
        <w:rPr>
          <w:rFonts w:ascii="Calibri" w:hAnsi="Calibri" w:hint="eastAsia"/>
          <w:lang w:eastAsia="zh-CN"/>
        </w:rPr>
        <w:t xml:space="preserve"> </w:t>
      </w:r>
      <w:r w:rsidR="00FF0E7E" w:rsidRPr="0089577A">
        <w:rPr>
          <w:rFonts w:ascii="Calibri" w:hAnsi="Calibri"/>
          <w:lang w:eastAsia="zh-CN"/>
        </w:rPr>
        <w:t xml:space="preserve">rarely </w:t>
      </w:r>
      <w:r w:rsidR="00C541F6" w:rsidRPr="0089577A">
        <w:rPr>
          <w:rFonts w:ascii="Calibri" w:hAnsi="Calibri"/>
          <w:lang w:eastAsia="zh-CN"/>
        </w:rPr>
        <w:t xml:space="preserve">to </w:t>
      </w:r>
      <w:r w:rsidR="003B408C" w:rsidRPr="0089577A">
        <w:rPr>
          <w:rFonts w:ascii="Calibri" w:hAnsi="Calibri"/>
          <w:lang w:eastAsia="zh-CN"/>
        </w:rPr>
        <w:t xml:space="preserve">have such a case that the distance between the two adjacent SPS exceeds 3 nm in a small </w:t>
      </w:r>
      <w:r w:rsidR="0094697F" w:rsidRPr="0089577A">
        <w:rPr>
          <w:rFonts w:ascii="Calibri" w:hAnsi="Calibri"/>
          <w:lang w:eastAsia="zh-CN"/>
        </w:rPr>
        <w:t xml:space="preserve">scale OWF, but such distance </w:t>
      </w:r>
      <w:r w:rsidR="002F0078" w:rsidRPr="0089577A">
        <w:rPr>
          <w:rFonts w:ascii="Calibri" w:hAnsi="Calibri"/>
          <w:lang w:eastAsia="zh-CN"/>
        </w:rPr>
        <w:t>quite often</w:t>
      </w:r>
      <w:r w:rsidR="0094697F" w:rsidRPr="0089577A">
        <w:rPr>
          <w:rFonts w:ascii="Calibri" w:hAnsi="Calibri"/>
          <w:lang w:eastAsia="zh-CN"/>
        </w:rPr>
        <w:t xml:space="preserve"> exceeds 3 nm for a large scale OWF. </w:t>
      </w:r>
      <w:r w:rsidR="00516E8B" w:rsidRPr="0089577A">
        <w:rPr>
          <w:rFonts w:ascii="Calibri" w:hAnsi="Calibri"/>
          <w:lang w:eastAsia="zh-CN"/>
        </w:rPr>
        <w:t xml:space="preserve">Be that as it may, the distance between any two adjacent SPS shall not exceed 3nm in accordance with the current requirements of IALA guideline. </w:t>
      </w:r>
      <w:r w:rsidR="00EB0863" w:rsidRPr="0089577A">
        <w:rPr>
          <w:rFonts w:ascii="Calibri" w:hAnsi="Calibri"/>
          <w:lang w:eastAsia="zh-CN"/>
        </w:rPr>
        <w:t xml:space="preserve">One or more SPS will be placed in the intermediate length alone the </w:t>
      </w:r>
      <w:r w:rsidR="009F1403" w:rsidRPr="0089577A">
        <w:rPr>
          <w:rFonts w:ascii="Calibri" w:hAnsi="Calibri"/>
          <w:lang w:eastAsia="zh-CN"/>
        </w:rPr>
        <w:t xml:space="preserve">external boundary of OWF. </w:t>
      </w:r>
    </w:p>
    <w:p w14:paraId="41CA84D6" w14:textId="50B0C4EC" w:rsidR="00DB5614" w:rsidRPr="0089577A" w:rsidRDefault="00E0128A" w:rsidP="009B7AD0">
      <w:pPr>
        <w:pStyle w:val="BodyText"/>
        <w:ind w:firstLineChars="193" w:firstLine="425"/>
        <w:rPr>
          <w:rFonts w:ascii="Calibri" w:hAnsi="Calibri"/>
          <w:lang w:eastAsia="zh-CN"/>
        </w:rPr>
      </w:pPr>
      <w:r w:rsidRPr="0089577A">
        <w:rPr>
          <w:rFonts w:ascii="Calibri" w:hAnsi="Calibri" w:hint="eastAsia"/>
          <w:lang w:eastAsia="zh-CN"/>
        </w:rPr>
        <w:t xml:space="preserve">Based on the </w:t>
      </w:r>
      <w:r w:rsidR="00046817" w:rsidRPr="0089577A">
        <w:rPr>
          <w:rFonts w:ascii="Calibri" w:hAnsi="Calibri"/>
          <w:lang w:eastAsia="zh-CN"/>
        </w:rPr>
        <w:t xml:space="preserve">actual information of the OWF in the coastal water area in China, the length of external boundary for a medium scale of OWF could easily be </w:t>
      </w:r>
      <w:r w:rsidR="00904985" w:rsidRPr="0089577A">
        <w:rPr>
          <w:rFonts w:ascii="Calibri" w:hAnsi="Calibri"/>
          <w:lang w:eastAsia="zh-CN"/>
        </w:rPr>
        <w:t>6nm and up to 1</w:t>
      </w:r>
      <w:r w:rsidR="0089577A" w:rsidRPr="0089577A">
        <w:rPr>
          <w:rFonts w:ascii="Calibri" w:hAnsi="Calibri"/>
          <w:lang w:eastAsia="zh-CN"/>
        </w:rPr>
        <w:t>2</w:t>
      </w:r>
      <w:r w:rsidR="00904985" w:rsidRPr="0089577A">
        <w:rPr>
          <w:rFonts w:ascii="Calibri" w:hAnsi="Calibri"/>
          <w:lang w:eastAsia="zh-CN"/>
        </w:rPr>
        <w:t>nm. For instance, the attached figures</w:t>
      </w:r>
      <w:r w:rsidR="00BB6496" w:rsidRPr="0089577A">
        <w:rPr>
          <w:rFonts w:ascii="Calibri" w:hAnsi="Calibri"/>
          <w:lang w:eastAsia="zh-CN"/>
        </w:rPr>
        <w:t xml:space="preserve"> which abstracted from </w:t>
      </w:r>
      <w:r w:rsidR="0089577A">
        <w:rPr>
          <w:rFonts w:ascii="Calibri" w:hAnsi="Calibri"/>
          <w:lang w:eastAsia="zh-CN"/>
        </w:rPr>
        <w:t>T</w:t>
      </w:r>
      <w:r w:rsidR="00BB6496" w:rsidRPr="0089577A">
        <w:rPr>
          <w:rFonts w:ascii="Calibri" w:hAnsi="Calibri"/>
          <w:lang w:eastAsia="zh-CN"/>
        </w:rPr>
        <w:t xml:space="preserve">he </w:t>
      </w:r>
      <w:r w:rsidR="0089577A">
        <w:rPr>
          <w:rFonts w:ascii="Calibri" w:hAnsi="Calibri"/>
          <w:lang w:eastAsia="zh-CN"/>
        </w:rPr>
        <w:t>T</w:t>
      </w:r>
      <w:r w:rsidR="00BB6496" w:rsidRPr="0089577A">
        <w:rPr>
          <w:rFonts w:ascii="Calibri" w:hAnsi="Calibri"/>
          <w:lang w:eastAsia="zh-CN"/>
        </w:rPr>
        <w:t xml:space="preserve">hree </w:t>
      </w:r>
      <w:r w:rsidR="0089577A">
        <w:rPr>
          <w:rFonts w:ascii="Calibri" w:hAnsi="Calibri"/>
          <w:lang w:eastAsia="zh-CN"/>
        </w:rPr>
        <w:t>G</w:t>
      </w:r>
      <w:r w:rsidR="00BB6496" w:rsidRPr="0089577A">
        <w:rPr>
          <w:rFonts w:ascii="Calibri" w:hAnsi="Calibri"/>
          <w:lang w:eastAsia="zh-CN"/>
        </w:rPr>
        <w:t xml:space="preserve">orges </w:t>
      </w:r>
      <w:r w:rsidR="00F975CA" w:rsidRPr="0089577A">
        <w:rPr>
          <w:rFonts w:ascii="Calibri" w:hAnsi="Calibri"/>
          <w:lang w:eastAsia="zh-CN"/>
        </w:rPr>
        <w:t xml:space="preserve">SHA PA OWF and ZHONG GUANG HE YANGJIANG OWF illustrate the </w:t>
      </w:r>
      <w:r w:rsidR="00F951CC" w:rsidRPr="0089577A">
        <w:rPr>
          <w:rFonts w:ascii="Calibri" w:hAnsi="Calibri"/>
          <w:lang w:eastAsia="zh-CN"/>
        </w:rPr>
        <w:t>abovementioned case.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1FAD4550" w14:textId="093A3ACA" w:rsidR="00D06A7D" w:rsidRDefault="00E91145" w:rsidP="00A446C9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O</w:t>
      </w:r>
      <w:r w:rsidR="0052744B">
        <w:rPr>
          <w:rFonts w:ascii="Calibri" w:hAnsi="Calibri"/>
          <w:lang w:eastAsia="zh-CN"/>
        </w:rPr>
        <w:t xml:space="preserve">n condition that the marks are </w:t>
      </w:r>
      <w:r w:rsidR="001E712C">
        <w:rPr>
          <w:rFonts w:ascii="Calibri" w:hAnsi="Calibri"/>
          <w:lang w:eastAsia="zh-CN"/>
        </w:rPr>
        <w:t xml:space="preserve">placed in accordance with </w:t>
      </w:r>
      <w:r w:rsidR="00963F2F">
        <w:rPr>
          <w:rFonts w:ascii="Calibri" w:hAnsi="Calibri"/>
          <w:lang w:eastAsia="zh-CN"/>
        </w:rPr>
        <w:t xml:space="preserve">the current </w:t>
      </w:r>
      <w:r>
        <w:rPr>
          <w:rFonts w:ascii="Calibri" w:hAnsi="Calibri"/>
          <w:lang w:eastAsia="zh-CN"/>
        </w:rPr>
        <w:t xml:space="preserve">standards and requirements as recommended in the guideline, </w:t>
      </w:r>
      <w:r>
        <w:rPr>
          <w:rFonts w:ascii="Calibri" w:hAnsi="Calibri" w:hint="eastAsia"/>
          <w:lang w:eastAsia="zh-CN"/>
        </w:rPr>
        <w:t>t</w:t>
      </w:r>
      <w:r w:rsidRPr="00F2761D">
        <w:rPr>
          <w:rFonts w:ascii="Calibri" w:hAnsi="Calibri"/>
          <w:lang w:eastAsia="zh-CN"/>
        </w:rPr>
        <w:t>he</w:t>
      </w:r>
      <w:r>
        <w:rPr>
          <w:rFonts w:ascii="Calibri" w:hAnsi="Calibri"/>
          <w:lang w:eastAsia="zh-CN"/>
        </w:rPr>
        <w:t xml:space="preserve"> likelihood of the risk of colliding with OWF could be </w:t>
      </w:r>
      <w:r w:rsidR="007E180C">
        <w:rPr>
          <w:rFonts w:ascii="Calibri" w:hAnsi="Calibri"/>
          <w:lang w:eastAsia="zh-CN"/>
        </w:rPr>
        <w:t>anticipated as follows:</w:t>
      </w:r>
    </w:p>
    <w:p w14:paraId="55D87EFE" w14:textId="49713FFC" w:rsidR="00C808FE" w:rsidRPr="00C808FE" w:rsidRDefault="00070EAF" w:rsidP="00C808FE">
      <w:pPr>
        <w:pStyle w:val="Lista-recommendation"/>
        <w:numPr>
          <w:ilvl w:val="2"/>
          <w:numId w:val="17"/>
        </w:numPr>
        <w:rPr>
          <w:lang w:eastAsia="zh-CN"/>
        </w:rPr>
      </w:pPr>
      <w:r>
        <w:rPr>
          <w:rFonts w:eastAsia="SimSun"/>
          <w:lang w:eastAsia="zh-CN"/>
        </w:rPr>
        <w:t xml:space="preserve">It might be </w:t>
      </w:r>
      <w:r w:rsidR="00C808FE">
        <w:rPr>
          <w:rFonts w:eastAsia="SimSun"/>
          <w:lang w:eastAsia="zh-CN"/>
        </w:rPr>
        <w:t>ambiguous for t</w:t>
      </w:r>
      <w:r w:rsidR="007E180C">
        <w:rPr>
          <w:rFonts w:eastAsia="SimSun"/>
          <w:lang w:eastAsia="zh-CN"/>
        </w:rPr>
        <w:t xml:space="preserve">he mariners </w:t>
      </w:r>
      <w:r w:rsidR="00C808FE">
        <w:rPr>
          <w:rFonts w:eastAsia="SimSun"/>
          <w:lang w:eastAsia="zh-CN"/>
        </w:rPr>
        <w:t>to precisely estimate the scale of OWF;</w:t>
      </w:r>
    </w:p>
    <w:p w14:paraId="18B08F60" w14:textId="495B1278" w:rsidR="00C808FE" w:rsidRPr="00464B14" w:rsidRDefault="00E66FB5" w:rsidP="00C808FE">
      <w:pPr>
        <w:pStyle w:val="Lista-recommendation"/>
        <w:numPr>
          <w:ilvl w:val="2"/>
          <w:numId w:val="17"/>
        </w:numPr>
        <w:rPr>
          <w:lang w:eastAsia="zh-CN"/>
        </w:rPr>
      </w:pPr>
      <w:r>
        <w:rPr>
          <w:rFonts w:eastAsia="SimSun"/>
          <w:lang w:eastAsia="zh-CN"/>
        </w:rPr>
        <w:t xml:space="preserve">In </w:t>
      </w:r>
      <w:r w:rsidR="0033611E">
        <w:rPr>
          <w:rFonts w:eastAsia="SimSun"/>
          <w:lang w:eastAsia="zh-CN"/>
        </w:rPr>
        <w:t>the event of</w:t>
      </w:r>
      <w:r w:rsidR="00B505B1">
        <w:rPr>
          <w:rFonts w:eastAsia="SimSun"/>
          <w:lang w:eastAsia="zh-CN"/>
        </w:rPr>
        <w:t xml:space="preserve"> </w:t>
      </w:r>
      <w:r w:rsidR="0033611E">
        <w:rPr>
          <w:rFonts w:eastAsia="SimSun"/>
          <w:lang w:eastAsia="zh-CN"/>
        </w:rPr>
        <w:t>any failure in observ</w:t>
      </w:r>
      <w:r w:rsidR="00F73A11">
        <w:rPr>
          <w:rFonts w:eastAsia="SimSun"/>
          <w:lang w:eastAsia="zh-CN"/>
        </w:rPr>
        <w:t xml:space="preserve">ing </w:t>
      </w:r>
      <w:r w:rsidR="00464B14">
        <w:rPr>
          <w:rFonts w:eastAsia="SimSun" w:hint="eastAsia"/>
          <w:lang w:eastAsia="zh-CN"/>
        </w:rPr>
        <w:t>any</w:t>
      </w:r>
      <w:r w:rsidR="00464B14">
        <w:rPr>
          <w:rFonts w:eastAsia="SimSun"/>
          <w:lang w:eastAsia="zh-CN"/>
        </w:rPr>
        <w:t xml:space="preserve"> </w:t>
      </w:r>
      <w:r w:rsidR="00F73A11">
        <w:rPr>
          <w:rFonts w:eastAsia="SimSun"/>
          <w:lang w:eastAsia="zh-CN"/>
        </w:rPr>
        <w:t xml:space="preserve">one of SPSs, the dilemma </w:t>
      </w:r>
      <w:r w:rsidR="00536CAB">
        <w:rPr>
          <w:rFonts w:eastAsia="SimSun"/>
          <w:lang w:eastAsia="zh-CN"/>
        </w:rPr>
        <w:t>of determining SPS as the termination point o</w:t>
      </w:r>
      <w:r w:rsidR="008E5D9F">
        <w:rPr>
          <w:rFonts w:eastAsia="SimSun"/>
          <w:lang w:eastAsia="zh-CN"/>
        </w:rPr>
        <w:t>r</w:t>
      </w:r>
      <w:r w:rsidR="00536CAB">
        <w:rPr>
          <w:rFonts w:eastAsia="SimSun"/>
          <w:lang w:eastAsia="zh-CN"/>
        </w:rPr>
        <w:t xml:space="preserve"> </w:t>
      </w:r>
      <w:r w:rsidR="00E26E75">
        <w:rPr>
          <w:rFonts w:eastAsia="SimSun"/>
          <w:lang w:eastAsia="zh-CN"/>
        </w:rPr>
        <w:t>intermediate point would make mariners confused</w:t>
      </w:r>
      <w:r w:rsidR="00D71436">
        <w:rPr>
          <w:rFonts w:eastAsia="SimSun"/>
          <w:lang w:eastAsia="zh-CN"/>
        </w:rPr>
        <w:t xml:space="preserve"> if the SPS2 and SPS3 were mistakenly </w:t>
      </w:r>
      <w:r w:rsidR="0052209B">
        <w:rPr>
          <w:rFonts w:eastAsia="SimSun"/>
          <w:lang w:eastAsia="zh-CN"/>
        </w:rPr>
        <w:t>recognised as the boundary line of the OWF,</w:t>
      </w:r>
      <w:r w:rsidR="00E26E75">
        <w:rPr>
          <w:rFonts w:eastAsia="SimSun"/>
          <w:lang w:eastAsia="zh-CN"/>
        </w:rPr>
        <w:t xml:space="preserve"> so as to </w:t>
      </w:r>
      <w:r w:rsidR="00D71436">
        <w:rPr>
          <w:rFonts w:eastAsia="SimSun"/>
          <w:lang w:eastAsia="zh-CN"/>
        </w:rPr>
        <w:t>increase the likelihood of risk of colliding with OWF</w:t>
      </w:r>
      <w:r w:rsidR="00A7441D">
        <w:rPr>
          <w:rFonts w:eastAsia="SimSun"/>
          <w:lang w:eastAsia="zh-CN"/>
        </w:rPr>
        <w:t>. For instance, a</w:t>
      </w:r>
      <w:r w:rsidR="00FB23D5">
        <w:rPr>
          <w:rFonts w:eastAsia="SimSun"/>
          <w:lang w:eastAsia="zh-CN"/>
        </w:rPr>
        <w:t>s illustrated in the below figure, in the case that the SPS1 is damaged or extinguished in no way of being observed by the mariners</w:t>
      </w:r>
      <w:r w:rsidR="00A51876">
        <w:rPr>
          <w:rFonts w:eastAsia="SimSun"/>
          <w:lang w:eastAsia="zh-CN"/>
        </w:rPr>
        <w:t>, the No.1 and No.2 wind turbine</w:t>
      </w:r>
      <w:r w:rsidR="00F851EE">
        <w:rPr>
          <w:rFonts w:eastAsia="SimSun"/>
          <w:lang w:eastAsia="zh-CN"/>
        </w:rPr>
        <w:t>s</w:t>
      </w:r>
      <w:r w:rsidR="00A51876">
        <w:rPr>
          <w:rFonts w:eastAsia="SimSun"/>
          <w:lang w:eastAsia="zh-CN"/>
        </w:rPr>
        <w:t xml:space="preserve"> </w:t>
      </w:r>
      <w:r w:rsidR="007A2B6C">
        <w:rPr>
          <w:rFonts w:eastAsia="SimSun"/>
          <w:lang w:eastAsia="zh-CN"/>
        </w:rPr>
        <w:t>are</w:t>
      </w:r>
      <w:r w:rsidR="00A51876">
        <w:rPr>
          <w:rFonts w:eastAsia="SimSun"/>
          <w:lang w:eastAsia="zh-CN"/>
        </w:rPr>
        <w:t xml:space="preserve"> highly </w:t>
      </w:r>
      <w:r w:rsidR="007A2B6C">
        <w:rPr>
          <w:rFonts w:eastAsia="SimSun"/>
          <w:lang w:eastAsia="zh-CN"/>
        </w:rPr>
        <w:t xml:space="preserve">exposed to the risk of being collided by the ships </w:t>
      </w:r>
      <w:r w:rsidR="00162F01">
        <w:rPr>
          <w:rFonts w:eastAsia="SimSun"/>
          <w:lang w:eastAsia="zh-CN"/>
        </w:rPr>
        <w:t>navigating nearby.</w:t>
      </w:r>
    </w:p>
    <w:p w14:paraId="16CD7858" w14:textId="06786914" w:rsidR="00464B14" w:rsidRPr="007E180C" w:rsidRDefault="00464B14" w:rsidP="00FB23D5">
      <w:pPr>
        <w:pStyle w:val="Lista-recommendation"/>
        <w:numPr>
          <w:ilvl w:val="0"/>
          <w:numId w:val="0"/>
        </w:numPr>
        <w:ind w:left="1134"/>
        <w:rPr>
          <w:lang w:eastAsia="zh-CN"/>
        </w:rPr>
      </w:pPr>
    </w:p>
    <w:p w14:paraId="4A316533" w14:textId="77777777" w:rsidR="007E180C" w:rsidRPr="00F2761D" w:rsidRDefault="007E180C" w:rsidP="0052209B">
      <w:pPr>
        <w:pStyle w:val="Lista-recommendation"/>
        <w:numPr>
          <w:ilvl w:val="0"/>
          <w:numId w:val="0"/>
        </w:numPr>
        <w:ind w:left="1080"/>
        <w:rPr>
          <w:lang w:eastAsia="zh-CN"/>
        </w:rPr>
      </w:pPr>
    </w:p>
    <w:p w14:paraId="0F34B3F8" w14:textId="0F7D7F0B" w:rsidR="0052209B" w:rsidRDefault="0017027F" w:rsidP="00A446C9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If the SPS will not be used as the intermedia points but only used as external termination point of the OWF, some IPS will be placed </w:t>
      </w:r>
      <w:r>
        <w:rPr>
          <w:rFonts w:ascii="Calibri" w:hAnsi="Calibri"/>
          <w:lang w:eastAsia="zh-CN"/>
        </w:rPr>
        <w:t xml:space="preserve">in between of two SPS where the distance </w:t>
      </w:r>
      <w:r w:rsidR="00422A93">
        <w:rPr>
          <w:rFonts w:ascii="Calibri" w:hAnsi="Calibri"/>
          <w:lang w:eastAsia="zh-CN"/>
        </w:rPr>
        <w:t>is over 3 nm on the condition that the distance between IPS and any adjacent SPS is no more than 2nm</w:t>
      </w:r>
      <w:r w:rsidR="00B826BA">
        <w:rPr>
          <w:rFonts w:ascii="Calibri" w:hAnsi="Calibri"/>
          <w:lang w:eastAsia="zh-CN"/>
        </w:rPr>
        <w:t>,</w:t>
      </w:r>
      <w:r w:rsidR="00B826BA" w:rsidRPr="00B826BA">
        <w:rPr>
          <w:rFonts w:ascii="Calibri" w:hAnsi="Calibri" w:hint="eastAsia"/>
          <w:lang w:eastAsia="zh-CN"/>
        </w:rPr>
        <w:t xml:space="preserve"> </w:t>
      </w:r>
      <w:r w:rsidR="00B826BA" w:rsidRPr="00B826BA">
        <w:rPr>
          <w:rFonts w:ascii="Calibri" w:hAnsi="Calibri"/>
          <w:lang w:eastAsia="zh-CN"/>
        </w:rPr>
        <w:t>the mode of setting as proposed could effectively avoid the aforementioned risks. As a matter of fact, such setting mode has been widely implemented and approved in China whereby it has been taken as mandatory national standards.</w:t>
      </w:r>
    </w:p>
    <w:p w14:paraId="5B8FD2BE" w14:textId="73C8EF73" w:rsidR="003438FA" w:rsidRPr="007A395D" w:rsidRDefault="00014C85" w:rsidP="00A446C9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 w:hint="eastAsia"/>
          <w:noProof/>
          <w:lang w:val="en-US" w:eastAsia="zh-CN"/>
        </w:rPr>
        <w:drawing>
          <wp:inline distT="0" distB="0" distL="0" distR="0" wp14:anchorId="0BB22619" wp14:editId="4FD68569">
            <wp:extent cx="6210300" cy="3819525"/>
            <wp:effectExtent l="0" t="0" r="0" b="9525"/>
            <wp:docPr id="362" name="图片 362" descr="C:\Users\pc2013\AppData\Local\Temp\WeChat Files\b7fa93c5dc33eb21e871153d46c82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2013\AppData\Local\Temp\WeChat Files\b7fa93c5dc33eb21e871153d46c826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B1D72" w14:textId="2C58718B" w:rsidR="00BF32F0" w:rsidRPr="0043385A" w:rsidRDefault="0089577A" w:rsidP="00BF32F0">
      <w:pPr>
        <w:pStyle w:val="Figure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>Current</w:t>
      </w:r>
      <w:r>
        <w:rPr>
          <w:rFonts w:ascii="Calibri" w:hAnsi="Calibri"/>
          <w:lang w:eastAsia="zh-CN"/>
        </w:rPr>
        <w:t xml:space="preserve"> Guideline May Misleading Mariners</w:t>
      </w:r>
    </w:p>
    <w:p w14:paraId="602EDD48" w14:textId="075E6D87" w:rsidR="00180DDA" w:rsidRPr="00A5133D" w:rsidRDefault="00A5133D" w:rsidP="00B53C60">
      <w:pPr>
        <w:pStyle w:val="Heading1"/>
      </w:pPr>
      <w:r>
        <w:t>proposal</w:t>
      </w:r>
    </w:p>
    <w:p w14:paraId="7AE3F656" w14:textId="3134DC2C" w:rsidR="00422A93" w:rsidRPr="00F621CD" w:rsidRDefault="00F621CD" w:rsidP="00155DC8">
      <w:pPr>
        <w:pStyle w:val="BodyText"/>
        <w:rPr>
          <w:rFonts w:ascii="Calibri" w:hAnsi="Calibri"/>
          <w:lang w:eastAsia="zh-CN"/>
        </w:rPr>
      </w:pPr>
      <w:r w:rsidRPr="00F621CD">
        <w:rPr>
          <w:rFonts w:ascii="Calibri" w:hAnsi="Calibri" w:hint="eastAsia"/>
          <w:lang w:eastAsia="zh-CN"/>
        </w:rPr>
        <w:t xml:space="preserve">The proposal </w:t>
      </w:r>
      <w:r>
        <w:rPr>
          <w:rFonts w:ascii="Calibri" w:hAnsi="Calibri"/>
          <w:lang w:eastAsia="zh-CN"/>
        </w:rPr>
        <w:t>in this regard will amend the description of the article 2.4.3 in the IALA guideline of the marking of offshore man-made structures as follows:</w:t>
      </w:r>
    </w:p>
    <w:p w14:paraId="160AA69E" w14:textId="77777777" w:rsidR="00422A93" w:rsidRPr="009A1F2A" w:rsidRDefault="00422A93" w:rsidP="00155DC8">
      <w:pPr>
        <w:pStyle w:val="BodyText"/>
        <w:rPr>
          <w:rFonts w:ascii="Calibri" w:hAnsi="Calibri"/>
          <w:highlight w:val="green"/>
          <w:lang w:eastAsia="zh-CN"/>
        </w:rPr>
      </w:pPr>
    </w:p>
    <w:p w14:paraId="1D75FE10" w14:textId="79F1D760" w:rsidR="00155DC8" w:rsidRPr="009B7AD0" w:rsidRDefault="00155DC8" w:rsidP="00155DC8">
      <w:pPr>
        <w:pStyle w:val="List1-recommendation"/>
        <w:numPr>
          <w:ilvl w:val="0"/>
          <w:numId w:val="0"/>
        </w:numPr>
        <w:ind w:left="567"/>
        <w:jc w:val="both"/>
        <w:rPr>
          <w:i/>
          <w:sz w:val="22"/>
          <w:szCs w:val="22"/>
        </w:rPr>
      </w:pPr>
      <w:r w:rsidRPr="009B7AD0">
        <w:rPr>
          <w:i/>
          <w:sz w:val="22"/>
          <w:szCs w:val="22"/>
        </w:rPr>
        <w:t xml:space="preserve">In the case of a large or extended OWF（ the distance between SPS exceed 3 </w:t>
      </w:r>
      <w:r w:rsidR="0043385A" w:rsidRPr="009B7AD0">
        <w:rPr>
          <w:i/>
          <w:sz w:val="22"/>
          <w:szCs w:val="22"/>
        </w:rPr>
        <w:t>nautical</w:t>
      </w:r>
      <w:r w:rsidRPr="009B7AD0">
        <w:rPr>
          <w:i/>
          <w:sz w:val="22"/>
          <w:szCs w:val="22"/>
        </w:rPr>
        <w:t xml:space="preserve"> miles），1 or several IPS must be set.</w:t>
      </w:r>
    </w:p>
    <w:p w14:paraId="6B4B7E7A" w14:textId="782F1600" w:rsidR="00D12820" w:rsidRDefault="00D12820" w:rsidP="00D12820">
      <w:pPr>
        <w:pStyle w:val="BodyText"/>
        <w:rPr>
          <w:rFonts w:ascii="Calibri" w:hAnsi="Calibri"/>
          <w:lang w:eastAsia="zh-CN"/>
        </w:rPr>
      </w:pPr>
      <w:r w:rsidRPr="00F621CD">
        <w:rPr>
          <w:rFonts w:ascii="Calibri" w:hAnsi="Calibri" w:hint="eastAsia"/>
          <w:lang w:eastAsia="zh-CN"/>
        </w:rPr>
        <w:t>The</w:t>
      </w:r>
      <w:r>
        <w:rPr>
          <w:rFonts w:ascii="Calibri" w:hAnsi="Calibri"/>
          <w:lang w:eastAsia="zh-CN"/>
        </w:rPr>
        <w:t xml:space="preserve"> illustration figure should be amended as:</w:t>
      </w:r>
    </w:p>
    <w:p w14:paraId="76D92009" w14:textId="58782C7F" w:rsidR="00993207" w:rsidRDefault="00993207" w:rsidP="00D01397">
      <w:pPr>
        <w:pStyle w:val="BodyText"/>
        <w:jc w:val="center"/>
        <w:rPr>
          <w:rFonts w:ascii="Calibri" w:hAnsi="Calibri"/>
          <w:noProof/>
          <w:lang w:val="en-US" w:eastAsia="zh-CN"/>
        </w:rPr>
      </w:pPr>
    </w:p>
    <w:p w14:paraId="5431FB67" w14:textId="2CC72DD8" w:rsidR="000326F4" w:rsidRPr="00993207" w:rsidRDefault="00014C85" w:rsidP="000326F4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  <w:r>
        <w:rPr>
          <w:rFonts w:ascii="Calibri" w:hAnsi="Calibri" w:hint="eastAsia"/>
          <w:noProof/>
          <w:lang w:val="en-US" w:eastAsia="zh-CN"/>
        </w:rPr>
        <w:lastRenderedPageBreak/>
        <w:drawing>
          <wp:inline distT="0" distB="0" distL="0" distR="0" wp14:anchorId="66936D48" wp14:editId="35FB6A64">
            <wp:extent cx="6210300" cy="4362450"/>
            <wp:effectExtent l="0" t="0" r="0" b="0"/>
            <wp:docPr id="364" name="图片 364" descr="C:\Users\pc2013\AppData\Local\Temp\WeChat Files\c671f49dc3db8cce2bb3aafaeb3b8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2013\AppData\Local\Temp\WeChat Files\c671f49dc3db8cce2bb3aafaeb3b8eb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FE10D" w14:textId="77777777" w:rsidR="00DC70E7" w:rsidRPr="00155DC8" w:rsidRDefault="00DC70E7" w:rsidP="00D01397">
      <w:pPr>
        <w:pStyle w:val="BodyText"/>
        <w:jc w:val="center"/>
        <w:rPr>
          <w:rFonts w:ascii="Calibri" w:hAnsi="Calibri"/>
          <w:lang w:eastAsia="zh-CN"/>
        </w:rPr>
      </w:pPr>
    </w:p>
    <w:p w14:paraId="476FE36F" w14:textId="1F7813AF" w:rsidR="0043385A" w:rsidRPr="0043385A" w:rsidRDefault="0043385A" w:rsidP="0043385A">
      <w:pPr>
        <w:pStyle w:val="Caption"/>
        <w:jc w:val="center"/>
        <w:rPr>
          <w:rFonts w:ascii="Calibri" w:eastAsia="SimSun" w:hAnsi="Calibri" w:cs="Calibri"/>
          <w:b w:val="0"/>
          <w:bCs w:val="0"/>
          <w:color w:val="auto"/>
          <w:szCs w:val="20"/>
          <w:u w:val="none"/>
          <w:lang w:eastAsia="zh-CN"/>
        </w:rPr>
      </w:pPr>
      <w:r w:rsidRPr="0043385A">
        <w:rPr>
          <w:rFonts w:ascii="Calibri" w:eastAsia="SimSun" w:hAnsi="Calibri" w:cs="Calibri" w:hint="eastAsia"/>
          <w:b w:val="0"/>
          <w:bCs w:val="0"/>
          <w:color w:val="auto"/>
          <w:szCs w:val="20"/>
          <w:u w:val="none"/>
          <w:lang w:eastAsia="zh-CN"/>
        </w:rPr>
        <w:t>Figure</w:t>
      </w:r>
      <w:r w:rsidRPr="0043385A">
        <w:rPr>
          <w:rFonts w:ascii="Calibri" w:eastAsia="SimSun" w:hAnsi="Calibri" w:cs="Calibri"/>
          <w:b w:val="0"/>
          <w:bCs w:val="0"/>
          <w:color w:val="auto"/>
          <w:szCs w:val="20"/>
          <w:u w:val="none"/>
          <w:lang w:eastAsia="zh-CN"/>
        </w:rPr>
        <w:t xml:space="preserve"> 2 </w:t>
      </w:r>
      <w:bookmarkStart w:id="0" w:name="_Toc69999023"/>
      <w:r w:rsidRPr="0043385A">
        <w:rPr>
          <w:rFonts w:ascii="Calibri" w:eastAsia="SimSun" w:hAnsi="Calibri" w:cs="Calibri"/>
          <w:b w:val="0"/>
          <w:bCs w:val="0"/>
          <w:color w:val="auto"/>
          <w:szCs w:val="20"/>
          <w:u w:val="none"/>
          <w:lang w:eastAsia="zh-CN"/>
        </w:rPr>
        <w:t xml:space="preserve"> </w:t>
      </w:r>
      <w:r>
        <w:rPr>
          <w:rFonts w:ascii="Calibri" w:eastAsia="SimSun" w:hAnsi="Calibri" w:cs="Calibri"/>
          <w:b w:val="0"/>
          <w:bCs w:val="0"/>
          <w:color w:val="auto"/>
          <w:szCs w:val="20"/>
          <w:u w:val="none"/>
          <w:lang w:eastAsia="zh-CN"/>
        </w:rPr>
        <w:t xml:space="preserve"> </w:t>
      </w:r>
      <w:r w:rsidRPr="0043385A">
        <w:rPr>
          <w:rFonts w:ascii="Calibri" w:eastAsia="SimSun" w:hAnsi="Calibri" w:cs="Calibri"/>
          <w:b w:val="0"/>
          <w:bCs w:val="0"/>
          <w:color w:val="auto"/>
          <w:szCs w:val="20"/>
          <w:u w:val="none"/>
          <w:lang w:eastAsia="zh-CN"/>
        </w:rPr>
        <w:t>Sample marking of an OWF</w:t>
      </w:r>
      <w:bookmarkEnd w:id="0"/>
    </w:p>
    <w:p w14:paraId="53C06BD2" w14:textId="0737AFB3" w:rsidR="00155DC8" w:rsidRPr="0043385A" w:rsidRDefault="00155DC8" w:rsidP="00A5133D">
      <w:pPr>
        <w:pStyle w:val="BodyText"/>
        <w:rPr>
          <w:rFonts w:ascii="Calibri" w:hAnsi="Calibri"/>
          <w:lang w:eastAsia="zh-CN"/>
        </w:rPr>
      </w:pPr>
    </w:p>
    <w:p w14:paraId="5800DE9B" w14:textId="7A91FD1F" w:rsidR="00A5133D" w:rsidRPr="007A395D" w:rsidRDefault="00993207" w:rsidP="00A5133D">
      <w:pPr>
        <w:pStyle w:val="BodyText"/>
        <w:rPr>
          <w:rFonts w:ascii="Calibri" w:hAnsi="Calibri"/>
        </w:rPr>
      </w:pPr>
      <w:r w:rsidRPr="00D73AD8">
        <w:rPr>
          <w:rFonts w:ascii="Calibri" w:hAnsi="Calibri" w:hint="eastAsia"/>
        </w:rPr>
        <w:t>Al</w:t>
      </w:r>
      <w:r w:rsidRPr="00D73AD8">
        <w:rPr>
          <w:rFonts w:ascii="Calibri" w:hAnsi="Calibri"/>
        </w:rPr>
        <w:t>l the</w:t>
      </w:r>
      <w:r w:rsidR="00750301">
        <w:rPr>
          <w:rFonts w:ascii="Calibri" w:hAnsi="Calibri"/>
        </w:rPr>
        <w:t xml:space="preserve"> proposed</w:t>
      </w:r>
      <w:r w:rsidRPr="00D73AD8">
        <w:rPr>
          <w:rFonts w:ascii="Calibri" w:hAnsi="Calibri"/>
        </w:rPr>
        <w:t xml:space="preserve"> </w:t>
      </w:r>
      <w:r>
        <w:rPr>
          <w:rFonts w:ascii="Calibri" w:hAnsi="Calibri"/>
        </w:rPr>
        <w:t>changes</w:t>
      </w:r>
      <w:r w:rsidR="00750301">
        <w:rPr>
          <w:rFonts w:ascii="Calibri" w:hAnsi="Calibri"/>
        </w:rPr>
        <w:t xml:space="preserve"> have</w:t>
      </w:r>
      <w:r>
        <w:rPr>
          <w:rFonts w:ascii="Calibri" w:hAnsi="Calibri"/>
        </w:rPr>
        <w:t xml:space="preserve"> </w:t>
      </w:r>
      <w:r w:rsidRPr="00D73AD8">
        <w:rPr>
          <w:rFonts w:ascii="Calibri" w:hAnsi="Calibri"/>
        </w:rPr>
        <w:t>mentioned</w:t>
      </w:r>
      <w:r>
        <w:rPr>
          <w:rFonts w:ascii="Calibri" w:hAnsi="Calibri"/>
        </w:rPr>
        <w:t xml:space="preserve"> above.</w:t>
      </w:r>
      <w:r w:rsidR="00A5133D">
        <w:rPr>
          <w:rFonts w:ascii="Calibri" w:hAnsi="Calibri"/>
        </w:rPr>
        <w:t xml:space="preserve"> I</w:t>
      </w:r>
      <w:r w:rsidR="00A5133D" w:rsidRPr="00710C25">
        <w:rPr>
          <w:rFonts w:ascii="Calibri" w:hAnsi="Calibri"/>
        </w:rPr>
        <w:t xml:space="preserve">t is recommended to </w:t>
      </w:r>
      <w:r w:rsidR="00750301">
        <w:rPr>
          <w:rFonts w:ascii="Calibri" w:hAnsi="Calibri"/>
        </w:rPr>
        <w:t xml:space="preserve">amend the draft revised Guideline </w:t>
      </w:r>
      <w:r w:rsidR="00A5133D">
        <w:rPr>
          <w:rFonts w:ascii="Calibri" w:hAnsi="Calibri"/>
        </w:rPr>
        <w:t xml:space="preserve">as an input paper to </w:t>
      </w:r>
      <w:r w:rsidR="00A5133D">
        <w:rPr>
          <w:rFonts w:ascii="Calibri" w:hAnsi="Calibri"/>
          <w:lang w:eastAsia="zh-CN"/>
        </w:rPr>
        <w:t>ARM</w:t>
      </w:r>
      <w:r w:rsidR="00A5133D">
        <w:rPr>
          <w:rFonts w:ascii="Calibri" w:hAnsi="Calibri" w:hint="eastAsia"/>
          <w:lang w:eastAsia="zh-CN"/>
        </w:rPr>
        <w:t xml:space="preserve"> 1</w:t>
      </w:r>
      <w:r w:rsidR="00A5133D">
        <w:rPr>
          <w:rFonts w:ascii="Calibri" w:hAnsi="Calibri"/>
          <w:lang w:eastAsia="zh-CN"/>
        </w:rPr>
        <w:t>4</w:t>
      </w:r>
      <w:r w:rsidR="00155DC8">
        <w:rPr>
          <w:rFonts w:ascii="Calibri" w:hAnsi="Calibri"/>
          <w:lang w:eastAsia="zh-CN"/>
        </w:rPr>
        <w:t xml:space="preserve"> </w:t>
      </w:r>
      <w:r w:rsidR="00A5133D">
        <w:rPr>
          <w:rFonts w:ascii="Calibri" w:hAnsi="Calibri" w:hint="eastAsia"/>
          <w:lang w:eastAsia="zh-CN"/>
        </w:rPr>
        <w:t>for</w:t>
      </w:r>
      <w:r w:rsidR="00A5133D">
        <w:rPr>
          <w:rFonts w:ascii="Calibri" w:hAnsi="Calibri"/>
          <w:lang w:eastAsia="zh-CN"/>
        </w:rPr>
        <w:t xml:space="preserve"> </w:t>
      </w:r>
      <w:r w:rsidR="00A5133D">
        <w:rPr>
          <w:rFonts w:ascii="Calibri" w:hAnsi="Calibri" w:hint="eastAsia"/>
          <w:lang w:eastAsia="zh-CN"/>
        </w:rPr>
        <w:t>consideration</w:t>
      </w:r>
      <w:r w:rsidR="00A5133D">
        <w:rPr>
          <w:rFonts w:ascii="Calibri" w:hAnsi="Calibri"/>
          <w:lang w:eastAsia="zh-CN"/>
        </w:rPr>
        <w:t xml:space="preserve">, and </w:t>
      </w:r>
      <w:r w:rsidR="00A5133D">
        <w:rPr>
          <w:rFonts w:ascii="Calibri" w:hAnsi="Calibri" w:hint="eastAsia"/>
          <w:lang w:eastAsia="zh-CN"/>
        </w:rPr>
        <w:t>fo</w:t>
      </w:r>
      <w:r w:rsidR="00A5133D">
        <w:rPr>
          <w:rFonts w:ascii="Calibri" w:hAnsi="Calibri"/>
          <w:lang w:eastAsia="zh-CN"/>
        </w:rPr>
        <w:t>rward to council at the right time</w:t>
      </w:r>
      <w:r w:rsidR="00A5133D" w:rsidRPr="00710C25">
        <w:rPr>
          <w:rFonts w:ascii="Calibri" w:hAnsi="Calibri"/>
        </w:rPr>
        <w:t>.</w:t>
      </w:r>
    </w:p>
    <w:p w14:paraId="475B7DFB" w14:textId="5CFC5976" w:rsidR="00A5133D" w:rsidRPr="00A5133D" w:rsidRDefault="00A5133D" w:rsidP="00A5133D">
      <w:pPr>
        <w:pStyle w:val="References"/>
        <w:numPr>
          <w:ilvl w:val="0"/>
          <w:numId w:val="0"/>
        </w:numPr>
        <w:ind w:left="567" w:hanging="567"/>
        <w:rPr>
          <w:rFonts w:ascii="Calibri" w:hAnsi="Calibri"/>
          <w:lang w:eastAsia="de-DE"/>
        </w:rPr>
      </w:pPr>
    </w:p>
    <w:p w14:paraId="41225ECA" w14:textId="77777777" w:rsidR="00750301" w:rsidRDefault="00750301" w:rsidP="00750301">
      <w:pPr>
        <w:pStyle w:val="Heading1"/>
      </w:pPr>
      <w:r>
        <w:t>References</w:t>
      </w:r>
    </w:p>
    <w:p w14:paraId="5E9B3F73" w14:textId="0D2BFA93" w:rsidR="00750301" w:rsidRDefault="00750301" w:rsidP="00B53C60">
      <w:pPr>
        <w:pStyle w:val="References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Regulation on Aids to Navigation for Marking of Offshore Structures, China</w:t>
      </w:r>
    </w:p>
    <w:p w14:paraId="7A8D2F27" w14:textId="04DE1757" w:rsidR="00A446C9" w:rsidRPr="007A395D" w:rsidRDefault="00750301" w:rsidP="00750301">
      <w:pPr>
        <w:pStyle w:val="Heading1"/>
      </w:pPr>
      <w:r w:rsidRPr="007A395D">
        <w:t xml:space="preserve"> </w:t>
      </w:r>
      <w:r w:rsidR="00A446C9" w:rsidRPr="007A395D">
        <w:t>Action requested of the Committee</w:t>
      </w:r>
    </w:p>
    <w:p w14:paraId="40614632" w14:textId="3DE11BAD" w:rsidR="00ED4E21" w:rsidRPr="007A395D" w:rsidRDefault="00ED4E21" w:rsidP="00ED4E21">
      <w:pPr>
        <w:rPr>
          <w:rFonts w:ascii="Calibri" w:hAnsi="Calibri"/>
          <w:lang w:eastAsia="en-US"/>
        </w:rPr>
      </w:pPr>
      <w:r w:rsidRPr="00710C25">
        <w:rPr>
          <w:rFonts w:ascii="Calibri" w:hAnsi="Calibri"/>
        </w:rPr>
        <w:t xml:space="preserve">The ARM Committee is invited to consider the proposals in part </w:t>
      </w:r>
      <w:r w:rsidR="00155DC8">
        <w:rPr>
          <w:rFonts w:ascii="Calibri" w:hAnsi="Calibri"/>
        </w:rPr>
        <w:t>4</w:t>
      </w:r>
      <w:r w:rsidRPr="00710C25">
        <w:rPr>
          <w:rFonts w:ascii="Calibri" w:hAnsi="Calibri"/>
        </w:rPr>
        <w:t>, and take action as appropriate</w:t>
      </w:r>
      <w:r w:rsidRPr="007970D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A395D">
        <w:rPr>
          <w:rFonts w:ascii="Calibri" w:hAnsi="Calibri"/>
          <w:lang w:eastAsia="en-US"/>
        </w:rPr>
        <w:t xml:space="preserve"> </w:t>
      </w:r>
    </w:p>
    <w:p w14:paraId="10DC5D6B" w14:textId="77777777" w:rsidR="004D1D85" w:rsidRPr="007A395D" w:rsidRDefault="004D1D85" w:rsidP="00014C85">
      <w:pPr>
        <w:pStyle w:val="Annex"/>
        <w:numPr>
          <w:ilvl w:val="0"/>
          <w:numId w:val="0"/>
        </w:numPr>
        <w:sectPr w:rsidR="004D1D85" w:rsidRPr="007A395D" w:rsidSect="007A395D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3979185" w14:textId="2AB2E4CC" w:rsidR="009B7AD0" w:rsidRDefault="0089577A" w:rsidP="009B7AD0">
      <w:pPr>
        <w:pStyle w:val="Annex"/>
        <w:numPr>
          <w:ilvl w:val="0"/>
          <w:numId w:val="0"/>
        </w:numPr>
        <w:rPr>
          <w:lang w:eastAsia="zh-CN"/>
        </w:rPr>
      </w:pPr>
      <w:r>
        <w:rPr>
          <w:rFonts w:hint="eastAsia"/>
          <w:lang w:eastAsia="zh-CN"/>
        </w:rPr>
        <w:lastRenderedPageBreak/>
        <w:t>Annex</w:t>
      </w:r>
    </w:p>
    <w:p w14:paraId="16AA3F0E" w14:textId="287F856D" w:rsidR="00F951CC" w:rsidRPr="0089577A" w:rsidRDefault="0019757C" w:rsidP="0089577A">
      <w:pPr>
        <w:spacing w:after="240"/>
        <w:jc w:val="center"/>
        <w:rPr>
          <w:rFonts w:ascii="Calibri" w:hAnsi="Calibri"/>
          <w:b/>
          <w:caps/>
          <w:snapToGrid w:val="0"/>
          <w:sz w:val="24"/>
          <w:lang w:eastAsia="zh-CN"/>
        </w:rPr>
      </w:pPr>
      <w:r w:rsidRPr="0089577A">
        <w:rPr>
          <w:rFonts w:ascii="Calibri" w:hAnsi="Calibri" w:hint="eastAsia"/>
          <w:b/>
          <w:caps/>
          <w:snapToGrid w:val="0"/>
          <w:sz w:val="24"/>
          <w:lang w:eastAsia="zh-CN"/>
        </w:rPr>
        <w:t>Illustration figures</w:t>
      </w:r>
      <w:r w:rsidRPr="0089577A">
        <w:rPr>
          <w:rFonts w:ascii="Calibri" w:hAnsi="Calibri"/>
          <w:b/>
          <w:caps/>
          <w:snapToGrid w:val="0"/>
          <w:sz w:val="24"/>
          <w:lang w:eastAsia="zh-CN"/>
        </w:rPr>
        <w:t xml:space="preserve"> of the OWF in Chinese coastal waters</w:t>
      </w:r>
    </w:p>
    <w:p w14:paraId="44A9170A" w14:textId="77777777" w:rsidR="009B7AD0" w:rsidRDefault="009B7AD0" w:rsidP="009B7AD0">
      <w:pPr>
        <w:rPr>
          <w:lang w:eastAsia="zh-CN"/>
        </w:rPr>
      </w:pPr>
      <w:r>
        <w:rPr>
          <w:rFonts w:hint="eastAsia"/>
          <w:noProof/>
          <w:lang w:val="en-US" w:eastAsia="zh-CN"/>
        </w:rPr>
        <w:drawing>
          <wp:inline distT="0" distB="0" distL="0" distR="0" wp14:anchorId="12DA859E" wp14:editId="6444C940">
            <wp:extent cx="6120130" cy="29730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捕获1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7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5B453" w14:textId="280B0F9D" w:rsidR="009B7AD0" w:rsidRDefault="009B7AD0" w:rsidP="009B7AD0">
      <w:pPr>
        <w:jc w:val="center"/>
        <w:rPr>
          <w:lang w:eastAsia="zh-CN"/>
        </w:rPr>
      </w:pPr>
    </w:p>
    <w:p w14:paraId="48C16D17" w14:textId="44A54A25" w:rsidR="0019757C" w:rsidRDefault="00810350" w:rsidP="009B7AD0">
      <w:pPr>
        <w:jc w:val="center"/>
        <w:rPr>
          <w:lang w:eastAsia="zh-CN"/>
        </w:rPr>
      </w:pPr>
      <w:r>
        <w:rPr>
          <w:lang w:eastAsia="zh-CN"/>
        </w:rPr>
        <w:t xml:space="preserve">The scale and external boundary length in the </w:t>
      </w:r>
      <w:r w:rsidR="0019757C">
        <w:rPr>
          <w:rFonts w:hint="eastAsia"/>
          <w:lang w:eastAsia="zh-CN"/>
        </w:rPr>
        <w:t>Three gorges SHA PA OWF</w:t>
      </w:r>
      <w:r>
        <w:rPr>
          <w:lang w:eastAsia="zh-CN"/>
        </w:rPr>
        <w:t xml:space="preserve"> (10nm X 12nm)</w:t>
      </w:r>
    </w:p>
    <w:p w14:paraId="784397E2" w14:textId="77777777" w:rsidR="009B7AD0" w:rsidRDefault="009B7AD0" w:rsidP="009B7AD0">
      <w:pPr>
        <w:rPr>
          <w:lang w:eastAsia="zh-CN"/>
        </w:rPr>
      </w:pPr>
    </w:p>
    <w:p w14:paraId="5426C118" w14:textId="77777777" w:rsidR="009B7AD0" w:rsidRDefault="009B7AD0" w:rsidP="009B7AD0">
      <w:pPr>
        <w:rPr>
          <w:lang w:eastAsia="zh-CN"/>
        </w:rPr>
      </w:pPr>
      <w:r>
        <w:rPr>
          <w:rFonts w:hint="eastAsia"/>
          <w:noProof/>
          <w:lang w:val="en-US" w:eastAsia="zh-CN"/>
        </w:rPr>
        <w:drawing>
          <wp:inline distT="0" distB="0" distL="0" distR="0" wp14:anchorId="3DE987B3" wp14:editId="4307A3A3">
            <wp:extent cx="6120130" cy="31337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捕获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0C5C0" w14:textId="0FE5B22B" w:rsidR="00810350" w:rsidRDefault="00810350" w:rsidP="00810350">
      <w:pPr>
        <w:jc w:val="center"/>
        <w:rPr>
          <w:lang w:eastAsia="zh-CN"/>
        </w:rPr>
      </w:pPr>
      <w:r>
        <w:rPr>
          <w:lang w:eastAsia="zh-CN"/>
        </w:rPr>
        <w:t>The scale and external boundary length in the ZHONG GUAN</w:t>
      </w:r>
      <w:r w:rsidR="00B826BA">
        <w:rPr>
          <w:lang w:eastAsia="zh-CN"/>
        </w:rPr>
        <w:t>G</w:t>
      </w:r>
      <w:r>
        <w:rPr>
          <w:lang w:eastAsia="zh-CN"/>
        </w:rPr>
        <w:t xml:space="preserve"> HE YANGJIANG</w:t>
      </w:r>
      <w:r>
        <w:rPr>
          <w:rFonts w:hint="eastAsia"/>
          <w:lang w:eastAsia="zh-CN"/>
        </w:rPr>
        <w:t xml:space="preserve"> OWF</w:t>
      </w:r>
      <w:r>
        <w:rPr>
          <w:lang w:eastAsia="zh-CN"/>
        </w:rPr>
        <w:t xml:space="preserve"> (</w:t>
      </w:r>
      <w:r w:rsidR="0089577A">
        <w:rPr>
          <w:lang w:eastAsia="zh-CN"/>
        </w:rPr>
        <w:t>8.5</w:t>
      </w:r>
      <w:proofErr w:type="gramStart"/>
      <w:r>
        <w:rPr>
          <w:lang w:eastAsia="zh-CN"/>
        </w:rPr>
        <w:t xml:space="preserve">nm </w:t>
      </w:r>
      <w:r w:rsidR="0089577A">
        <w:rPr>
          <w:rFonts w:hint="eastAsia"/>
          <w:lang w:eastAsia="zh-CN"/>
        </w:rPr>
        <w:t>,</w:t>
      </w:r>
      <w:proofErr w:type="gramEnd"/>
      <w:r w:rsidR="0089577A">
        <w:rPr>
          <w:lang w:eastAsia="zh-CN"/>
        </w:rPr>
        <w:t xml:space="preserve"> 6.3</w:t>
      </w:r>
      <w:r>
        <w:rPr>
          <w:lang w:eastAsia="zh-CN"/>
        </w:rPr>
        <w:t>nm)</w:t>
      </w:r>
    </w:p>
    <w:p w14:paraId="183A3667" w14:textId="77777777" w:rsidR="00810350" w:rsidRPr="00810350" w:rsidRDefault="00810350" w:rsidP="009B7AD0">
      <w:pPr>
        <w:jc w:val="center"/>
        <w:rPr>
          <w:lang w:eastAsia="zh-CN"/>
        </w:rPr>
      </w:pPr>
    </w:p>
    <w:p w14:paraId="16AE6650" w14:textId="644C13C7" w:rsidR="004D1D85" w:rsidRPr="00B826BA" w:rsidRDefault="004D1D85" w:rsidP="00014C85">
      <w:pPr>
        <w:pStyle w:val="Annex"/>
        <w:numPr>
          <w:ilvl w:val="0"/>
          <w:numId w:val="0"/>
        </w:numPr>
        <w:rPr>
          <w:lang w:eastAsia="zh-CN"/>
        </w:rPr>
      </w:pPr>
    </w:p>
    <w:sectPr w:rsidR="004D1D85" w:rsidRPr="00B826BA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C678E" w14:textId="77777777" w:rsidR="003367F3" w:rsidRDefault="003367F3" w:rsidP="00362CD9">
      <w:r>
        <w:separator/>
      </w:r>
    </w:p>
  </w:endnote>
  <w:endnote w:type="continuationSeparator" w:id="0">
    <w:p w14:paraId="101014EB" w14:textId="77777777" w:rsidR="003367F3" w:rsidRDefault="003367F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049CBF5E" w:rsidR="00362CD9" w:rsidRPr="00036B9E" w:rsidRDefault="0092571E">
    <w:pPr>
      <w:pStyle w:val="Footer"/>
      <w:rPr>
        <w:rFonts w:ascii="Calibri" w:hAnsi="Calibri"/>
      </w:rPr>
    </w:pPr>
    <w:r w:rsidRPr="0092571E">
      <w:rPr>
        <w:rFonts w:ascii="Calibri" w:hAnsi="Calibri"/>
        <w:sz w:val="20"/>
        <w:szCs w:val="20"/>
      </w:rPr>
      <w:t>P</w:t>
    </w:r>
    <w:r w:rsidRPr="0092571E">
      <w:rPr>
        <w:rFonts w:ascii="Calibri" w:hAnsi="Calibri" w:hint="eastAsia"/>
        <w:sz w:val="20"/>
        <w:szCs w:val="20"/>
      </w:rPr>
      <w:t>roposal</w:t>
    </w:r>
    <w:r w:rsidRPr="0092571E">
      <w:rPr>
        <w:rFonts w:ascii="Calibri" w:hAnsi="Calibri"/>
        <w:sz w:val="20"/>
        <w:szCs w:val="20"/>
      </w:rPr>
      <w:t xml:space="preserve"> for revision of IALA guideline, the draft of the marking of Man-made structures, with a concrete amendment of 2-4-3 for the additional marking of Offshore Wind Farm (OWF) in operation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B826BA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F7DC" w14:textId="77777777" w:rsidR="003367F3" w:rsidRDefault="003367F3" w:rsidP="00362CD9">
      <w:r>
        <w:separator/>
      </w:r>
    </w:p>
  </w:footnote>
  <w:footnote w:type="continuationSeparator" w:id="0">
    <w:p w14:paraId="3BBBC119" w14:textId="77777777" w:rsidR="003367F3" w:rsidRDefault="003367F3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92571E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US" w:eastAsia="zh-CN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571E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2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92571E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EB00BE6"/>
    <w:multiLevelType w:val="multilevel"/>
    <w:tmpl w:val="CA36F9F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  <w:szCs w:val="22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"/>
  </w:num>
  <w:num w:numId="4">
    <w:abstractNumId w:val="16"/>
  </w:num>
  <w:num w:numId="5">
    <w:abstractNumId w:val="6"/>
  </w:num>
  <w:num w:numId="6">
    <w:abstractNumId w:val="5"/>
  </w:num>
  <w:num w:numId="7">
    <w:abstractNumId w:val="12"/>
  </w:num>
  <w:num w:numId="8">
    <w:abstractNumId w:val="11"/>
  </w:num>
  <w:num w:numId="9">
    <w:abstractNumId w:val="15"/>
  </w:num>
  <w:num w:numId="10">
    <w:abstractNumId w:val="3"/>
  </w:num>
  <w:num w:numId="11">
    <w:abstractNumId w:val="13"/>
  </w:num>
  <w:num w:numId="12">
    <w:abstractNumId w:val="8"/>
  </w:num>
  <w:num w:numId="13">
    <w:abstractNumId w:val="7"/>
  </w:num>
  <w:num w:numId="14">
    <w:abstractNumId w:val="2"/>
  </w:num>
  <w:num w:numId="15">
    <w:abstractNumId w:val="9"/>
  </w:num>
  <w:num w:numId="16">
    <w:abstractNumId w:val="0"/>
  </w:num>
  <w:num w:numId="17">
    <w:abstractNumId w:val="4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4C85"/>
    <w:rsid w:val="000319EA"/>
    <w:rsid w:val="000326F4"/>
    <w:rsid w:val="000351F5"/>
    <w:rsid w:val="00036B9E"/>
    <w:rsid w:val="00037DF4"/>
    <w:rsid w:val="00046817"/>
    <w:rsid w:val="0004700E"/>
    <w:rsid w:val="00070C13"/>
    <w:rsid w:val="00070EAF"/>
    <w:rsid w:val="000715C9"/>
    <w:rsid w:val="00077333"/>
    <w:rsid w:val="00084F33"/>
    <w:rsid w:val="000A134D"/>
    <w:rsid w:val="000A77A7"/>
    <w:rsid w:val="000B1707"/>
    <w:rsid w:val="000C1B3E"/>
    <w:rsid w:val="000C349E"/>
    <w:rsid w:val="000C38C8"/>
    <w:rsid w:val="000E7C47"/>
    <w:rsid w:val="00110AE7"/>
    <w:rsid w:val="00136BB7"/>
    <w:rsid w:val="00155DC8"/>
    <w:rsid w:val="00162F01"/>
    <w:rsid w:val="0017027F"/>
    <w:rsid w:val="00177F4D"/>
    <w:rsid w:val="00180DDA"/>
    <w:rsid w:val="0019757C"/>
    <w:rsid w:val="001B2A2D"/>
    <w:rsid w:val="001B737D"/>
    <w:rsid w:val="001C44A3"/>
    <w:rsid w:val="001E0E15"/>
    <w:rsid w:val="001E712C"/>
    <w:rsid w:val="001F528A"/>
    <w:rsid w:val="001F704E"/>
    <w:rsid w:val="00201722"/>
    <w:rsid w:val="002125B0"/>
    <w:rsid w:val="0022769B"/>
    <w:rsid w:val="00243228"/>
    <w:rsid w:val="00251483"/>
    <w:rsid w:val="00255CAA"/>
    <w:rsid w:val="002639D0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0078"/>
    <w:rsid w:val="00324E17"/>
    <w:rsid w:val="0033611E"/>
    <w:rsid w:val="003367F3"/>
    <w:rsid w:val="003412CB"/>
    <w:rsid w:val="003438FA"/>
    <w:rsid w:val="00354768"/>
    <w:rsid w:val="00356CD0"/>
    <w:rsid w:val="00362676"/>
    <w:rsid w:val="00362CD9"/>
    <w:rsid w:val="003761CA"/>
    <w:rsid w:val="00380DAF"/>
    <w:rsid w:val="00387971"/>
    <w:rsid w:val="00395C89"/>
    <w:rsid w:val="003972CE"/>
    <w:rsid w:val="003B28F5"/>
    <w:rsid w:val="003B408C"/>
    <w:rsid w:val="003B7B7D"/>
    <w:rsid w:val="003C54CB"/>
    <w:rsid w:val="003C7A2A"/>
    <w:rsid w:val="003D2DC1"/>
    <w:rsid w:val="003D69D0"/>
    <w:rsid w:val="003E4A03"/>
    <w:rsid w:val="003F2918"/>
    <w:rsid w:val="003F430E"/>
    <w:rsid w:val="0041088C"/>
    <w:rsid w:val="00417F6E"/>
    <w:rsid w:val="00420A38"/>
    <w:rsid w:val="00422A93"/>
    <w:rsid w:val="00431B19"/>
    <w:rsid w:val="0043385A"/>
    <w:rsid w:val="00464B14"/>
    <w:rsid w:val="004661AD"/>
    <w:rsid w:val="004B4D9B"/>
    <w:rsid w:val="004D1D85"/>
    <w:rsid w:val="004D3C3A"/>
    <w:rsid w:val="004E1CD1"/>
    <w:rsid w:val="004E614D"/>
    <w:rsid w:val="004E7CDF"/>
    <w:rsid w:val="004F5EEC"/>
    <w:rsid w:val="005107EB"/>
    <w:rsid w:val="0051112E"/>
    <w:rsid w:val="00516A5B"/>
    <w:rsid w:val="00516E8B"/>
    <w:rsid w:val="00521345"/>
    <w:rsid w:val="0052209B"/>
    <w:rsid w:val="00526DF0"/>
    <w:rsid w:val="0052744B"/>
    <w:rsid w:val="00536CAB"/>
    <w:rsid w:val="00545CC4"/>
    <w:rsid w:val="00551FFF"/>
    <w:rsid w:val="005607A2"/>
    <w:rsid w:val="0057198B"/>
    <w:rsid w:val="0057227F"/>
    <w:rsid w:val="00573CFE"/>
    <w:rsid w:val="00590B84"/>
    <w:rsid w:val="005969F2"/>
    <w:rsid w:val="00597FAE"/>
    <w:rsid w:val="005B32A3"/>
    <w:rsid w:val="005C0D44"/>
    <w:rsid w:val="005C566C"/>
    <w:rsid w:val="005C7E69"/>
    <w:rsid w:val="005D5793"/>
    <w:rsid w:val="005E262D"/>
    <w:rsid w:val="005F23D3"/>
    <w:rsid w:val="005F7E20"/>
    <w:rsid w:val="00605E43"/>
    <w:rsid w:val="006153BB"/>
    <w:rsid w:val="00651A79"/>
    <w:rsid w:val="006652C3"/>
    <w:rsid w:val="006672BD"/>
    <w:rsid w:val="00691FD0"/>
    <w:rsid w:val="00692148"/>
    <w:rsid w:val="006A1A1E"/>
    <w:rsid w:val="006B0A58"/>
    <w:rsid w:val="006C5948"/>
    <w:rsid w:val="006F2A74"/>
    <w:rsid w:val="0070519C"/>
    <w:rsid w:val="007118F5"/>
    <w:rsid w:val="00712AA4"/>
    <w:rsid w:val="00712F5F"/>
    <w:rsid w:val="007146C4"/>
    <w:rsid w:val="00720C23"/>
    <w:rsid w:val="00721AA1"/>
    <w:rsid w:val="00724B67"/>
    <w:rsid w:val="00731466"/>
    <w:rsid w:val="00744B17"/>
    <w:rsid w:val="007479B4"/>
    <w:rsid w:val="00750301"/>
    <w:rsid w:val="007547F8"/>
    <w:rsid w:val="00765622"/>
    <w:rsid w:val="00770B6C"/>
    <w:rsid w:val="00783FEA"/>
    <w:rsid w:val="007A2B6C"/>
    <w:rsid w:val="007A395D"/>
    <w:rsid w:val="007C346C"/>
    <w:rsid w:val="007E0E6B"/>
    <w:rsid w:val="007E180C"/>
    <w:rsid w:val="007F2F6A"/>
    <w:rsid w:val="0080294B"/>
    <w:rsid w:val="00810350"/>
    <w:rsid w:val="0082480E"/>
    <w:rsid w:val="00850293"/>
    <w:rsid w:val="00851373"/>
    <w:rsid w:val="00851BA6"/>
    <w:rsid w:val="0085654D"/>
    <w:rsid w:val="00861160"/>
    <w:rsid w:val="0086654F"/>
    <w:rsid w:val="0089577A"/>
    <w:rsid w:val="008A356F"/>
    <w:rsid w:val="008A4653"/>
    <w:rsid w:val="008A4717"/>
    <w:rsid w:val="008A50CC"/>
    <w:rsid w:val="008D1694"/>
    <w:rsid w:val="008D79CB"/>
    <w:rsid w:val="008E5D9F"/>
    <w:rsid w:val="008F07BC"/>
    <w:rsid w:val="00904985"/>
    <w:rsid w:val="00911B6B"/>
    <w:rsid w:val="0092571E"/>
    <w:rsid w:val="0092692B"/>
    <w:rsid w:val="00943E9C"/>
    <w:rsid w:val="0094697F"/>
    <w:rsid w:val="00953F4D"/>
    <w:rsid w:val="00960BB8"/>
    <w:rsid w:val="00963F2F"/>
    <w:rsid w:val="00964F5C"/>
    <w:rsid w:val="00973B57"/>
    <w:rsid w:val="009831C0"/>
    <w:rsid w:val="0099161D"/>
    <w:rsid w:val="00993207"/>
    <w:rsid w:val="009A1F2A"/>
    <w:rsid w:val="009B7AD0"/>
    <w:rsid w:val="009D5110"/>
    <w:rsid w:val="009F1403"/>
    <w:rsid w:val="00A0389B"/>
    <w:rsid w:val="00A33435"/>
    <w:rsid w:val="00A446C9"/>
    <w:rsid w:val="00A5133D"/>
    <w:rsid w:val="00A51876"/>
    <w:rsid w:val="00A53A2A"/>
    <w:rsid w:val="00A635D6"/>
    <w:rsid w:val="00A7441D"/>
    <w:rsid w:val="00A824F3"/>
    <w:rsid w:val="00A8553A"/>
    <w:rsid w:val="00A93AED"/>
    <w:rsid w:val="00AB2B70"/>
    <w:rsid w:val="00AC4993"/>
    <w:rsid w:val="00AE1319"/>
    <w:rsid w:val="00AE34BB"/>
    <w:rsid w:val="00B130DB"/>
    <w:rsid w:val="00B226F2"/>
    <w:rsid w:val="00B274DF"/>
    <w:rsid w:val="00B505B1"/>
    <w:rsid w:val="00B53C60"/>
    <w:rsid w:val="00B56AE6"/>
    <w:rsid w:val="00B56BDF"/>
    <w:rsid w:val="00B65812"/>
    <w:rsid w:val="00B826BA"/>
    <w:rsid w:val="00B85CD6"/>
    <w:rsid w:val="00B90A27"/>
    <w:rsid w:val="00B9554D"/>
    <w:rsid w:val="00BB21AE"/>
    <w:rsid w:val="00BB2B9F"/>
    <w:rsid w:val="00BB6496"/>
    <w:rsid w:val="00BB7D9E"/>
    <w:rsid w:val="00BC2334"/>
    <w:rsid w:val="00BD3CB8"/>
    <w:rsid w:val="00BD4E6F"/>
    <w:rsid w:val="00BF32F0"/>
    <w:rsid w:val="00BF4DCE"/>
    <w:rsid w:val="00C05CE5"/>
    <w:rsid w:val="00C541F6"/>
    <w:rsid w:val="00C6171E"/>
    <w:rsid w:val="00C63F21"/>
    <w:rsid w:val="00C77E09"/>
    <w:rsid w:val="00C808FE"/>
    <w:rsid w:val="00CA6F2C"/>
    <w:rsid w:val="00CB3216"/>
    <w:rsid w:val="00CB5AE7"/>
    <w:rsid w:val="00CD0716"/>
    <w:rsid w:val="00CF1871"/>
    <w:rsid w:val="00D01397"/>
    <w:rsid w:val="00D019CE"/>
    <w:rsid w:val="00D06A7D"/>
    <w:rsid w:val="00D1133E"/>
    <w:rsid w:val="00D12820"/>
    <w:rsid w:val="00D17A34"/>
    <w:rsid w:val="00D26628"/>
    <w:rsid w:val="00D332B3"/>
    <w:rsid w:val="00D438FC"/>
    <w:rsid w:val="00D55207"/>
    <w:rsid w:val="00D60561"/>
    <w:rsid w:val="00D619A6"/>
    <w:rsid w:val="00D70D15"/>
    <w:rsid w:val="00D71436"/>
    <w:rsid w:val="00D72DDA"/>
    <w:rsid w:val="00D81801"/>
    <w:rsid w:val="00D92B45"/>
    <w:rsid w:val="00D94030"/>
    <w:rsid w:val="00D95962"/>
    <w:rsid w:val="00DB5614"/>
    <w:rsid w:val="00DC389B"/>
    <w:rsid w:val="00DC70E7"/>
    <w:rsid w:val="00DE2FEE"/>
    <w:rsid w:val="00E00BE9"/>
    <w:rsid w:val="00E0128A"/>
    <w:rsid w:val="00E22A11"/>
    <w:rsid w:val="00E26E75"/>
    <w:rsid w:val="00E31E5C"/>
    <w:rsid w:val="00E42C88"/>
    <w:rsid w:val="00E44DD2"/>
    <w:rsid w:val="00E51B94"/>
    <w:rsid w:val="00E558C3"/>
    <w:rsid w:val="00E55927"/>
    <w:rsid w:val="00E66FB5"/>
    <w:rsid w:val="00E77BD6"/>
    <w:rsid w:val="00E91145"/>
    <w:rsid w:val="00E912A6"/>
    <w:rsid w:val="00E96416"/>
    <w:rsid w:val="00EA4844"/>
    <w:rsid w:val="00EA4D9C"/>
    <w:rsid w:val="00EA5A97"/>
    <w:rsid w:val="00EA7A74"/>
    <w:rsid w:val="00EB0863"/>
    <w:rsid w:val="00EB75EE"/>
    <w:rsid w:val="00EB7FA8"/>
    <w:rsid w:val="00EC3107"/>
    <w:rsid w:val="00ED4E21"/>
    <w:rsid w:val="00EE4C1D"/>
    <w:rsid w:val="00EF3685"/>
    <w:rsid w:val="00F04350"/>
    <w:rsid w:val="00F133DB"/>
    <w:rsid w:val="00F159EB"/>
    <w:rsid w:val="00F25BF4"/>
    <w:rsid w:val="00F267DB"/>
    <w:rsid w:val="00F2761D"/>
    <w:rsid w:val="00F46F6F"/>
    <w:rsid w:val="00F5136B"/>
    <w:rsid w:val="00F60608"/>
    <w:rsid w:val="00F621CD"/>
    <w:rsid w:val="00F62217"/>
    <w:rsid w:val="00F65589"/>
    <w:rsid w:val="00F73A11"/>
    <w:rsid w:val="00F851EE"/>
    <w:rsid w:val="00F951CC"/>
    <w:rsid w:val="00F975CA"/>
    <w:rsid w:val="00FB17A9"/>
    <w:rsid w:val="00FB23D5"/>
    <w:rsid w:val="00FB425B"/>
    <w:rsid w:val="00FB527C"/>
    <w:rsid w:val="00FB6F75"/>
    <w:rsid w:val="00FC0EB3"/>
    <w:rsid w:val="00FD0DF4"/>
    <w:rsid w:val="00FD675E"/>
    <w:rsid w:val="00FE5674"/>
    <w:rsid w:val="00FF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9F200B71-B1BB-4905-BB3A-3EBEC9B6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List1-recommendation">
    <w:name w:val="List 1 - recommendation"/>
    <w:basedOn w:val="Normal"/>
    <w:link w:val="List1-recommendationChar"/>
    <w:qFormat/>
    <w:rsid w:val="00362676"/>
    <w:pPr>
      <w:numPr>
        <w:numId w:val="17"/>
      </w:numPr>
      <w:spacing w:after="120" w:line="216" w:lineRule="atLeast"/>
    </w:pPr>
    <w:rPr>
      <w:rFonts w:asciiTheme="minorHAnsi" w:eastAsia="Times New Roman" w:hAnsiTheme="minorHAnsi" w:cs="Times New Roman"/>
      <w:sz w:val="24"/>
      <w:szCs w:val="24"/>
    </w:rPr>
  </w:style>
  <w:style w:type="paragraph" w:customStyle="1" w:styleId="Lista-recommendation">
    <w:name w:val="List a - recommendation"/>
    <w:basedOn w:val="Normal"/>
    <w:qFormat/>
    <w:rsid w:val="00362676"/>
    <w:pPr>
      <w:numPr>
        <w:ilvl w:val="1"/>
        <w:numId w:val="17"/>
      </w:numPr>
      <w:spacing w:after="120"/>
      <w:jc w:val="both"/>
    </w:pPr>
    <w:rPr>
      <w:rFonts w:asciiTheme="minorHAnsi" w:eastAsia="Times New Roman" w:hAnsiTheme="minorHAnsi" w:cs="Times New Roman"/>
      <w:szCs w:val="20"/>
    </w:rPr>
  </w:style>
  <w:style w:type="character" w:customStyle="1" w:styleId="List1-recommendationChar">
    <w:name w:val="List 1 - recommendation Char"/>
    <w:basedOn w:val="DefaultParagraphFont"/>
    <w:link w:val="List1-recommendation"/>
    <w:rsid w:val="00362676"/>
    <w:rPr>
      <w:rFonts w:asciiTheme="minorHAnsi" w:eastAsia="Times New Roman" w:hAnsiTheme="minorHAnsi"/>
      <w:sz w:val="24"/>
      <w:szCs w:val="24"/>
    </w:rPr>
  </w:style>
  <w:style w:type="paragraph" w:styleId="Caption">
    <w:name w:val="caption"/>
    <w:basedOn w:val="Normal"/>
    <w:next w:val="Normal"/>
    <w:uiPriority w:val="35"/>
    <w:rsid w:val="0043385A"/>
    <w:pPr>
      <w:spacing w:line="216" w:lineRule="atLeast"/>
    </w:pPr>
    <w:rPr>
      <w:rFonts w:asciiTheme="minorHAnsi" w:eastAsiaTheme="minorEastAsia" w:hAnsiTheme="minorHAnsi" w:cstheme="minorBidi"/>
      <w:b/>
      <w:bCs/>
      <w:i/>
      <w:color w:val="575756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5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4.JPG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329E32-D671-4F8B-AA44-CBC9413EDC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BC716C-9D78-42E1-861E-6A76C52652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2C5AC8-C56C-451E-B465-E014EF649A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334918-D118-41BC-B002-FF744D4EBB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changpeng</dc:creator>
  <cp:lastModifiedBy>Kevin Gregory</cp:lastModifiedBy>
  <cp:revision>7</cp:revision>
  <dcterms:created xsi:type="dcterms:W3CDTF">2021-07-22T01:15:00Z</dcterms:created>
  <dcterms:modified xsi:type="dcterms:W3CDTF">2021-09-29T13:34:00Z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